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31724483"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0F3931">
        <w:rPr>
          <w:rFonts w:cs="Arial"/>
          <w:b/>
          <w:bCs/>
          <w:sz w:val="24"/>
          <w:szCs w:val="18"/>
        </w:rPr>
        <w:t>1</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6912C6" w:rsidRPr="006912C6">
        <w:rPr>
          <w:rFonts w:cs="Arial"/>
          <w:b/>
          <w:bCs/>
          <w:sz w:val="24"/>
          <w:szCs w:val="18"/>
        </w:rPr>
        <w:t>221173</w:t>
      </w:r>
      <w:r w:rsidR="00CC479B">
        <w:rPr>
          <w:rFonts w:cs="Arial"/>
          <w:b/>
          <w:bCs/>
          <w:sz w:val="24"/>
          <w:szCs w:val="18"/>
        </w:rPr>
        <w:t>8</w:t>
      </w:r>
    </w:p>
    <w:p w14:paraId="686D68EE" w14:textId="19657D78" w:rsidR="00463D3B" w:rsidRPr="00463D3B" w:rsidRDefault="000F3931" w:rsidP="00463D3B">
      <w:pPr>
        <w:tabs>
          <w:tab w:val="center" w:pos="4536"/>
          <w:tab w:val="right" w:pos="9072"/>
        </w:tabs>
        <w:rPr>
          <w:rFonts w:eastAsia="MS Mincho" w:cs="Arial"/>
          <w:b/>
          <w:bCs/>
          <w:sz w:val="24"/>
          <w:szCs w:val="18"/>
          <w:lang w:eastAsia="ja-JP"/>
        </w:rPr>
      </w:pPr>
      <w:r>
        <w:rPr>
          <w:rFonts w:eastAsia="MS Mincho" w:cs="Arial"/>
          <w:b/>
          <w:bCs/>
          <w:sz w:val="24"/>
          <w:szCs w:val="18"/>
          <w:lang w:eastAsia="ja-JP"/>
        </w:rPr>
        <w:t>Toulouse, France, November 14</w:t>
      </w:r>
      <w:r w:rsidRPr="006912C6">
        <w:rPr>
          <w:rFonts w:eastAsia="MS Mincho" w:cs="Arial"/>
          <w:b/>
          <w:bCs/>
          <w:sz w:val="24"/>
          <w:szCs w:val="18"/>
          <w:vertAlign w:val="superscript"/>
          <w:lang w:eastAsia="ja-JP"/>
        </w:rPr>
        <w:t>th</w:t>
      </w:r>
      <w:r>
        <w:rPr>
          <w:rFonts w:eastAsia="MS Mincho" w:cs="Arial"/>
          <w:b/>
          <w:bCs/>
          <w:sz w:val="24"/>
          <w:szCs w:val="18"/>
          <w:lang w:eastAsia="ja-JP"/>
        </w:rPr>
        <w:t xml:space="preserve"> – 18</w:t>
      </w:r>
      <w:r w:rsidRPr="006912C6">
        <w:rPr>
          <w:rFonts w:eastAsia="MS Mincho" w:cs="Arial"/>
          <w:b/>
          <w:bCs/>
          <w:sz w:val="24"/>
          <w:szCs w:val="18"/>
          <w:vertAlign w:val="superscript"/>
          <w:lang w:eastAsia="ja-JP"/>
        </w:rPr>
        <w:t>th</w:t>
      </w:r>
      <w:r w:rsidR="00463D3B" w:rsidRPr="00463D3B">
        <w:rPr>
          <w:rFonts w:eastAsia="MS Mincho" w:cs="Arial"/>
          <w:b/>
          <w:bCs/>
          <w:sz w:val="24"/>
          <w:szCs w:val="18"/>
          <w:lang w:eastAsia="ja-JP"/>
        </w:rPr>
        <w:t>, 2022</w:t>
      </w:r>
    </w:p>
    <w:p w14:paraId="0FB970DD" w14:textId="2B5CC303" w:rsidR="00406D72" w:rsidRDefault="00406D72" w:rsidP="00406D72">
      <w:pPr>
        <w:pStyle w:val="3GPPHeader"/>
      </w:pPr>
      <w:r>
        <w:t xml:space="preserve">                                      </w:t>
      </w:r>
    </w:p>
    <w:p w14:paraId="7AD14354" w14:textId="33901B3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w:t>
      </w:r>
      <w:r w:rsidR="00CC479B">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24D0C74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912C6" w:rsidRPr="006912C6">
        <w:rPr>
          <w:sz w:val="22"/>
          <w:szCs w:val="22"/>
        </w:rPr>
        <w:t xml:space="preserve">Discussion </w:t>
      </w:r>
      <w:r w:rsidR="00CC479B" w:rsidRPr="00CC479B">
        <w:rPr>
          <w:sz w:val="22"/>
          <w:szCs w:val="22"/>
        </w:rPr>
        <w:t>on potential enhancements on dynamic/flexible TDD</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9269894" w:rsidR="00814D9B" w:rsidRDefault="006912C6" w:rsidP="006912C6">
      <w:pPr>
        <w:spacing w:line="276" w:lineRule="auto"/>
        <w:rPr>
          <w:rFonts w:cs="Arial"/>
        </w:rPr>
      </w:pPr>
      <w:r w:rsidRPr="006912C6">
        <w:rPr>
          <w:rFonts w:cs="Arial"/>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pPr>
              <w:numPr>
                <w:ilvl w:val="0"/>
                <w:numId w:val="4"/>
              </w:numPr>
              <w:spacing w:after="0"/>
              <w:rPr>
                <w:bCs/>
              </w:rPr>
            </w:pPr>
            <w:r w:rsidRPr="006912C6">
              <w:rPr>
                <w:rFonts w:eastAsia="Malgun Gothic"/>
                <w:bCs/>
              </w:rPr>
              <w:t xml:space="preserve">Duplex enhancement at the </w:t>
            </w:r>
            <w:proofErr w:type="spellStart"/>
            <w:r w:rsidRPr="006912C6">
              <w:rPr>
                <w:rFonts w:eastAsia="Malgun Gothic"/>
                <w:bCs/>
              </w:rPr>
              <w:t>gNB</w:t>
            </w:r>
            <w:proofErr w:type="spellEnd"/>
            <w:r w:rsidRPr="006912C6">
              <w:rPr>
                <w:rFonts w:eastAsia="Malgun Gothic"/>
                <w:bCs/>
              </w:rPr>
              <w:t xml:space="preserve"> side</w:t>
            </w:r>
          </w:p>
          <w:p w14:paraId="6F1CA689" w14:textId="77777777" w:rsidR="006912C6" w:rsidRPr="006912C6" w:rsidRDefault="006912C6">
            <w:pPr>
              <w:numPr>
                <w:ilvl w:val="0"/>
                <w:numId w:val="4"/>
              </w:numPr>
              <w:spacing w:after="0"/>
              <w:rPr>
                <w:bCs/>
              </w:rPr>
            </w:pPr>
            <w:r w:rsidRPr="006912C6">
              <w:rPr>
                <w:rFonts w:eastAsia="Malgun Gothic"/>
                <w:bCs/>
              </w:rPr>
              <w:t>Half duplex operation at the UE side</w:t>
            </w:r>
          </w:p>
          <w:p w14:paraId="392DD36D" w14:textId="77777777" w:rsidR="006912C6" w:rsidRPr="006912C6" w:rsidRDefault="006912C6">
            <w:pPr>
              <w:numPr>
                <w:ilvl w:val="0"/>
                <w:numId w:val="4"/>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pPr>
              <w:numPr>
                <w:ilvl w:val="0"/>
                <w:numId w:val="6"/>
              </w:numPr>
              <w:spacing w:after="0"/>
            </w:pPr>
            <w:r w:rsidRPr="006912C6">
              <w:t>Identify applicable and relevant deployment scenarios (RAN1).</w:t>
            </w:r>
          </w:p>
          <w:p w14:paraId="499BB476" w14:textId="77777777" w:rsidR="006912C6" w:rsidRPr="006912C6" w:rsidRDefault="006912C6">
            <w:pPr>
              <w:numPr>
                <w:ilvl w:val="0"/>
                <w:numId w:val="6"/>
              </w:numPr>
              <w:spacing w:after="0"/>
            </w:pPr>
            <w:r w:rsidRPr="006912C6">
              <w:t>Develop evaluation methodology for duplex enhancement (RAN1).</w:t>
            </w:r>
          </w:p>
          <w:p w14:paraId="7566E3B6" w14:textId="77777777" w:rsidR="006912C6" w:rsidRPr="006912C6" w:rsidRDefault="006912C6">
            <w:pPr>
              <w:numPr>
                <w:ilvl w:val="0"/>
                <w:numId w:val="6"/>
              </w:numPr>
              <w:spacing w:after="0"/>
            </w:pPr>
            <w:r w:rsidRPr="006912C6">
              <w:rPr>
                <w:rFonts w:eastAsia="Malgun Gothic"/>
              </w:rPr>
              <w:t xml:space="preserve">Study the </w:t>
            </w:r>
            <w:proofErr w:type="spellStart"/>
            <w:r w:rsidRPr="006912C6">
              <w:rPr>
                <w:rFonts w:eastAsia="Malgun Gothic"/>
              </w:rPr>
              <w:t>subband</w:t>
            </w:r>
            <w:proofErr w:type="spellEnd"/>
            <w:r w:rsidRPr="006912C6">
              <w:rPr>
                <w:rFonts w:eastAsia="Malgun Gothic"/>
              </w:rPr>
              <w:t xml:space="preserve">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Consider intra-</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in case of the </w:t>
            </w:r>
            <w:proofErr w:type="spellStart"/>
            <w:r w:rsidRPr="006912C6">
              <w:rPr>
                <w:rFonts w:ascii="Arial" w:eastAsia="Malgun Gothic" w:hAnsi="Arial"/>
                <w:sz w:val="20"/>
                <w:szCs w:val="20"/>
              </w:rPr>
              <w:t>subband</w:t>
            </w:r>
            <w:proofErr w:type="spellEnd"/>
            <w:r w:rsidRPr="006912C6">
              <w:rPr>
                <w:rFonts w:ascii="Arial" w:eastAsia="Malgun Gothic" w:hAnsi="Arial"/>
                <w:sz w:val="20"/>
                <w:szCs w:val="20"/>
              </w:rPr>
              <w:t xml:space="preserve"> non-overlapping full duplex</w:t>
            </w:r>
            <w:r w:rsidRPr="006912C6">
              <w:rPr>
                <w:rFonts w:ascii="Arial" w:eastAsia="Malgun Gothic" w:hAnsi="Arial"/>
                <w:bCs/>
                <w:sz w:val="20"/>
                <w:szCs w:val="20"/>
              </w:rPr>
              <w:t>.</w:t>
            </w:r>
          </w:p>
          <w:p w14:paraId="0CE0411F"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94AD190"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Summarize the regulatory aspects that have to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474D27E3" w:rsidR="006912C6" w:rsidRDefault="006912C6" w:rsidP="006912C6">
      <w:pPr>
        <w:spacing w:line="276" w:lineRule="auto"/>
        <w:rPr>
          <w:rFonts w:cs="Arial"/>
        </w:rPr>
      </w:pPr>
      <w:r w:rsidRPr="006912C6">
        <w:rPr>
          <w:rFonts w:cs="Arial"/>
        </w:rPr>
        <w:t xml:space="preserve">In </w:t>
      </w:r>
      <w:r w:rsidR="00CC479B" w:rsidRPr="00CC479B">
        <w:rPr>
          <w:rFonts w:cs="Arial"/>
        </w:rPr>
        <w:t>RAN1#110 bis-e meeting [5], the following agreements were made:</w:t>
      </w:r>
    </w:p>
    <w:tbl>
      <w:tblPr>
        <w:tblStyle w:val="TableGrid"/>
        <w:tblW w:w="0" w:type="auto"/>
        <w:tblLook w:val="04A0" w:firstRow="1" w:lastRow="0" w:firstColumn="1" w:lastColumn="0" w:noHBand="0" w:noVBand="1"/>
      </w:tblPr>
      <w:tblGrid>
        <w:gridCol w:w="9629"/>
      </w:tblGrid>
      <w:tr w:rsidR="006912C6" w14:paraId="267D1DAE" w14:textId="77777777" w:rsidTr="00E46E0E">
        <w:tc>
          <w:tcPr>
            <w:tcW w:w="9629" w:type="dxa"/>
          </w:tcPr>
          <w:p w14:paraId="53AF4EDA" w14:textId="77777777" w:rsidR="00CC479B" w:rsidRPr="00CC479B" w:rsidRDefault="00CC479B" w:rsidP="00CC479B">
            <w:pPr>
              <w:spacing w:after="0"/>
              <w:rPr>
                <w:rFonts w:cs="Arial"/>
                <w:b/>
                <w:bCs/>
              </w:rPr>
            </w:pPr>
            <w:r w:rsidRPr="00CC479B">
              <w:rPr>
                <w:rFonts w:cs="Arial"/>
                <w:b/>
                <w:bCs/>
              </w:rPr>
              <w:t>Conclusion</w:t>
            </w:r>
          </w:p>
          <w:p w14:paraId="0770EA06" w14:textId="77777777" w:rsidR="00CC479B" w:rsidRPr="00CC479B" w:rsidRDefault="00CC479B" w:rsidP="00CC479B">
            <w:pPr>
              <w:spacing w:after="0"/>
              <w:rPr>
                <w:rFonts w:eastAsia="Malgun Gothic" w:cs="Arial"/>
                <w:bCs/>
              </w:rPr>
            </w:pPr>
            <w:r w:rsidRPr="00CC479B">
              <w:rPr>
                <w:rFonts w:eastAsia="Malgun Gothic" w:cs="Arial"/>
              </w:rPr>
              <w:t xml:space="preserve">No further discussion for </w:t>
            </w:r>
            <w:r w:rsidRPr="00CC479B">
              <w:rPr>
                <w:rFonts w:eastAsia="Malgun Gothic" w:cs="Arial"/>
                <w:bCs/>
              </w:rPr>
              <w:t xml:space="preserve">potential enhancement to Rel-16 RIM for </w:t>
            </w:r>
            <w:proofErr w:type="spellStart"/>
            <w:r w:rsidRPr="00CC479B">
              <w:rPr>
                <w:rFonts w:eastAsia="Malgun Gothic" w:cs="Arial"/>
                <w:bCs/>
              </w:rPr>
              <w:t>gNB</w:t>
            </w:r>
            <w:proofErr w:type="spellEnd"/>
            <w:r w:rsidRPr="00CC479B">
              <w:rPr>
                <w:rFonts w:eastAsia="Malgun Gothic" w:cs="Arial"/>
                <w:bCs/>
              </w:rPr>
              <w:t>-to-</w:t>
            </w:r>
            <w:proofErr w:type="spellStart"/>
            <w:r w:rsidRPr="00CC479B">
              <w:rPr>
                <w:rFonts w:eastAsia="Malgun Gothic" w:cs="Arial"/>
                <w:bCs/>
              </w:rPr>
              <w:t>gNB</w:t>
            </w:r>
            <w:proofErr w:type="spellEnd"/>
            <w:r w:rsidRPr="00CC479B">
              <w:rPr>
                <w:rFonts w:eastAsia="Malgun Gothic" w:cs="Arial"/>
                <w:bCs/>
              </w:rPr>
              <w:t xml:space="preserve"> co-channel CLI handling which can be specific for dynamic/flexible TDD and/or common for both SBFD and dynamic/flexible TDD.</w:t>
            </w:r>
          </w:p>
          <w:p w14:paraId="11CEA014" w14:textId="77777777" w:rsidR="00CC479B" w:rsidRPr="00CC479B" w:rsidRDefault="00CC479B" w:rsidP="00CC479B">
            <w:pPr>
              <w:spacing w:after="0"/>
              <w:rPr>
                <w:rFonts w:cs="Arial"/>
                <w:bCs/>
              </w:rPr>
            </w:pPr>
          </w:p>
          <w:p w14:paraId="3EDFE613" w14:textId="77777777" w:rsidR="00CC479B" w:rsidRPr="00CC479B" w:rsidRDefault="00CC479B" w:rsidP="00CC479B">
            <w:pPr>
              <w:spacing w:after="0"/>
              <w:rPr>
                <w:rFonts w:cs="Arial"/>
                <w:b/>
                <w:bCs/>
              </w:rPr>
            </w:pPr>
            <w:r w:rsidRPr="00CC479B">
              <w:rPr>
                <w:rFonts w:cs="Arial"/>
                <w:b/>
                <w:bCs/>
              </w:rPr>
              <w:t>Conclusion</w:t>
            </w:r>
          </w:p>
          <w:p w14:paraId="2E8A3355" w14:textId="77777777" w:rsidR="00CC479B" w:rsidRPr="00CC479B" w:rsidRDefault="00CC479B" w:rsidP="00CC479B">
            <w:pPr>
              <w:spacing w:after="0"/>
              <w:rPr>
                <w:rFonts w:eastAsia="Malgun Gothic" w:cs="Arial"/>
                <w:bCs/>
              </w:rPr>
            </w:pPr>
            <w:r w:rsidRPr="00CC479B">
              <w:rPr>
                <w:rFonts w:eastAsia="Malgun Gothic" w:cs="Arial"/>
                <w:bCs/>
              </w:rPr>
              <w:t xml:space="preserve">No further discussion for sensing-based mechanism for </w:t>
            </w:r>
            <w:proofErr w:type="spellStart"/>
            <w:r w:rsidRPr="00CC479B">
              <w:rPr>
                <w:rFonts w:eastAsia="Malgun Gothic" w:cs="Arial"/>
                <w:bCs/>
              </w:rPr>
              <w:t>gNB</w:t>
            </w:r>
            <w:proofErr w:type="spellEnd"/>
            <w:r w:rsidRPr="00CC479B">
              <w:rPr>
                <w:rFonts w:eastAsia="Malgun Gothic" w:cs="Arial"/>
                <w:bCs/>
              </w:rPr>
              <w:t>-to-</w:t>
            </w:r>
            <w:proofErr w:type="spellStart"/>
            <w:r w:rsidRPr="00CC479B">
              <w:rPr>
                <w:rFonts w:eastAsia="Malgun Gothic" w:cs="Arial"/>
                <w:bCs/>
              </w:rPr>
              <w:t>gNB</w:t>
            </w:r>
            <w:proofErr w:type="spellEnd"/>
            <w:r w:rsidRPr="00CC479B">
              <w:rPr>
                <w:rFonts w:eastAsia="Malgun Gothic" w:cs="Arial"/>
                <w:bCs/>
              </w:rPr>
              <w:t xml:space="preserve"> co-channel CLI handling which can be specific for dynamic/flexible TDD and/or common for both SBFD and dynamic/flexible TDD.</w:t>
            </w:r>
          </w:p>
          <w:p w14:paraId="06E001D9" w14:textId="77777777" w:rsidR="00CC479B" w:rsidRPr="00CC479B" w:rsidRDefault="00CC479B" w:rsidP="00CC479B">
            <w:pPr>
              <w:spacing w:after="0"/>
              <w:rPr>
                <w:rFonts w:eastAsia="Malgun Gothic" w:cs="Arial"/>
                <w:bCs/>
              </w:rPr>
            </w:pPr>
          </w:p>
          <w:p w14:paraId="5AB39DA0" w14:textId="77777777" w:rsidR="00CC479B" w:rsidRPr="00CC479B" w:rsidRDefault="00CC479B" w:rsidP="00CC479B">
            <w:pPr>
              <w:spacing w:after="0"/>
              <w:rPr>
                <w:rFonts w:cs="Arial"/>
                <w:b/>
                <w:bCs/>
              </w:rPr>
            </w:pPr>
            <w:r w:rsidRPr="00CC479B">
              <w:rPr>
                <w:rFonts w:cs="Arial"/>
                <w:b/>
                <w:bCs/>
              </w:rPr>
              <w:lastRenderedPageBreak/>
              <w:t>Conclusion</w:t>
            </w:r>
          </w:p>
          <w:p w14:paraId="37B2DB04" w14:textId="77777777" w:rsidR="00CC479B" w:rsidRPr="00CC479B" w:rsidRDefault="00CC479B" w:rsidP="00CC479B">
            <w:pPr>
              <w:spacing w:after="0"/>
              <w:rPr>
                <w:rFonts w:eastAsia="Malgun Gothic" w:cs="Arial"/>
              </w:rPr>
            </w:pPr>
            <w:r w:rsidRPr="00CC479B">
              <w:rPr>
                <w:rFonts w:eastAsia="Malgun Gothic" w:cs="Arial"/>
                <w:bCs/>
              </w:rPr>
              <w:t>No further discussion for sensing-based mechanism (</w:t>
            </w:r>
            <w:proofErr w:type="gramStart"/>
            <w:r w:rsidRPr="00CC479B">
              <w:rPr>
                <w:rFonts w:eastAsia="Malgun Gothic" w:cs="Arial"/>
                <w:bCs/>
              </w:rPr>
              <w:t>i.e.</w:t>
            </w:r>
            <w:proofErr w:type="gramEnd"/>
            <w:r w:rsidRPr="00CC479B">
              <w:rPr>
                <w:rFonts w:eastAsia="Malgun Gothic" w:cs="Arial"/>
                <w:bCs/>
              </w:rPr>
              <w:t xml:space="preserve"> LBT) for UE-to-UE co-channel CLI handling which can be specific for dynamic/flexible TDD and/or common</w:t>
            </w:r>
            <w:r w:rsidRPr="00CC479B">
              <w:rPr>
                <w:rFonts w:eastAsia="Malgun Gothic" w:cs="Arial"/>
              </w:rPr>
              <w:t xml:space="preserve"> for both SBFD and dynamic/flexible TDD.</w:t>
            </w:r>
          </w:p>
          <w:p w14:paraId="638904C3" w14:textId="77777777" w:rsidR="00CC479B" w:rsidRPr="00CC479B" w:rsidRDefault="00CC479B" w:rsidP="00CC479B">
            <w:pPr>
              <w:spacing w:after="0"/>
              <w:rPr>
                <w:rFonts w:cs="Arial"/>
                <w:b/>
                <w:bCs/>
              </w:rPr>
            </w:pPr>
          </w:p>
          <w:p w14:paraId="1A88A4A7" w14:textId="77777777" w:rsidR="00CC479B" w:rsidRPr="00CC479B" w:rsidRDefault="00CC479B" w:rsidP="00CC479B">
            <w:pPr>
              <w:spacing w:after="0"/>
              <w:rPr>
                <w:rFonts w:cs="Arial"/>
                <w:b/>
                <w:bCs/>
              </w:rPr>
            </w:pPr>
            <w:r w:rsidRPr="00CC479B">
              <w:rPr>
                <w:rFonts w:cs="Arial"/>
                <w:b/>
                <w:bCs/>
              </w:rPr>
              <w:t xml:space="preserve">Conclusion </w:t>
            </w:r>
          </w:p>
          <w:p w14:paraId="07215F28" w14:textId="77777777" w:rsidR="00CC479B" w:rsidRPr="00CC479B" w:rsidRDefault="00CC479B" w:rsidP="00CC479B">
            <w:pPr>
              <w:spacing w:after="0"/>
              <w:rPr>
                <w:rFonts w:eastAsia="Malgun Gothic" w:cs="Arial"/>
              </w:rPr>
            </w:pPr>
            <w:r w:rsidRPr="00CC479B">
              <w:rPr>
                <w:rFonts w:eastAsia="Malgun Gothic" w:cs="Arial"/>
              </w:rPr>
              <w:t xml:space="preserve">Under AI 9.3.3, no further discussion on UE side advanced receiver for UE-to-UE co-channel CLI handling which can be specific for dynamic/flexible TDD and/or common for both SBFD and dynamic/flexible TDD </w:t>
            </w:r>
          </w:p>
          <w:p w14:paraId="264C35C2" w14:textId="77777777" w:rsidR="00CC479B" w:rsidRPr="00CC479B" w:rsidRDefault="00CC479B" w:rsidP="00CC479B">
            <w:pPr>
              <w:spacing w:after="0"/>
              <w:rPr>
                <w:rFonts w:eastAsia="Malgun Gothic" w:cs="Arial"/>
              </w:rPr>
            </w:pPr>
          </w:p>
          <w:p w14:paraId="54B71E1B" w14:textId="77777777" w:rsidR="00CC479B" w:rsidRPr="00CC479B" w:rsidRDefault="00CC479B" w:rsidP="00CC479B">
            <w:pPr>
              <w:spacing w:after="0"/>
              <w:rPr>
                <w:rFonts w:cs="Arial"/>
                <w:b/>
                <w:bCs/>
              </w:rPr>
            </w:pPr>
            <w:r w:rsidRPr="00CC479B">
              <w:rPr>
                <w:rFonts w:cs="Arial"/>
                <w:b/>
                <w:bCs/>
              </w:rPr>
              <w:t>Agreement</w:t>
            </w:r>
          </w:p>
          <w:p w14:paraId="100AC85B" w14:textId="77777777" w:rsidR="00CC479B" w:rsidRPr="00CC479B" w:rsidRDefault="00CC479B" w:rsidP="00CC479B">
            <w:pPr>
              <w:spacing w:after="0"/>
              <w:rPr>
                <w:rFonts w:cs="Arial"/>
              </w:rPr>
            </w:pPr>
            <w:r w:rsidRPr="00CC479B">
              <w:rPr>
                <w:rFonts w:cs="Arial"/>
              </w:rPr>
              <w:t xml:space="preserve">For </w:t>
            </w:r>
            <w:proofErr w:type="spellStart"/>
            <w:r w:rsidRPr="00CC479B">
              <w:rPr>
                <w:rFonts w:cs="Arial"/>
              </w:rPr>
              <w:t>gNB</w:t>
            </w:r>
            <w:proofErr w:type="spellEnd"/>
            <w:r w:rsidRPr="00CC479B">
              <w:rPr>
                <w:rFonts w:cs="Arial"/>
              </w:rPr>
              <w:t>-to-</w:t>
            </w:r>
            <w:proofErr w:type="spellStart"/>
            <w:r w:rsidRPr="00CC479B">
              <w:rPr>
                <w:rFonts w:cs="Arial"/>
              </w:rPr>
              <w:t>gNB</w:t>
            </w:r>
            <w:proofErr w:type="spellEnd"/>
            <w:r w:rsidRPr="00CC479B">
              <w:rPr>
                <w:rFonts w:cs="Arial"/>
              </w:rPr>
              <w:t xml:space="preserve"> co-channel CLI measurement, the potential benefit of uplink resources muting can be studied further.</w:t>
            </w:r>
          </w:p>
          <w:p w14:paraId="08B4F6AC" w14:textId="77777777" w:rsidR="00CC479B" w:rsidRPr="00CC479B" w:rsidRDefault="00CC479B" w:rsidP="00CC479B">
            <w:pPr>
              <w:spacing w:after="0"/>
              <w:rPr>
                <w:rFonts w:cs="Arial"/>
              </w:rPr>
            </w:pPr>
            <w:r w:rsidRPr="00CC479B">
              <w:rPr>
                <w:rFonts w:cs="Arial"/>
              </w:rPr>
              <w:t xml:space="preserve">Note: Proponents of uplink resource muting are encouraged to provide evaluation result for comparison of performance between two cases when uplink resource muting based </w:t>
            </w:r>
            <w:proofErr w:type="spellStart"/>
            <w:r w:rsidRPr="00CC479B">
              <w:rPr>
                <w:rFonts w:cs="Arial"/>
              </w:rPr>
              <w:t>gNB-gNB</w:t>
            </w:r>
            <w:proofErr w:type="spellEnd"/>
            <w:r w:rsidRPr="00CC479B">
              <w:rPr>
                <w:rFonts w:cs="Arial"/>
              </w:rPr>
              <w:t xml:space="preserve"> CLI handling schemes including both UE transparent and non-UE transparent schemes is applied or not.</w:t>
            </w:r>
          </w:p>
          <w:p w14:paraId="2167CD06" w14:textId="77777777" w:rsidR="00CC479B" w:rsidRPr="00CC479B" w:rsidRDefault="00CC479B" w:rsidP="00CC479B">
            <w:pPr>
              <w:spacing w:after="0"/>
              <w:rPr>
                <w:rFonts w:cs="Arial"/>
                <w:b/>
                <w:bCs/>
              </w:rPr>
            </w:pPr>
          </w:p>
          <w:p w14:paraId="26311CEC" w14:textId="77777777" w:rsidR="00CC479B" w:rsidRPr="00CC479B" w:rsidRDefault="00CC479B" w:rsidP="00CC479B">
            <w:pPr>
              <w:spacing w:after="0"/>
              <w:rPr>
                <w:rFonts w:cs="Arial"/>
                <w:b/>
                <w:bCs/>
              </w:rPr>
            </w:pPr>
            <w:r w:rsidRPr="00CC479B">
              <w:rPr>
                <w:rFonts w:cs="Arial"/>
                <w:b/>
                <w:bCs/>
              </w:rPr>
              <w:t>Agreement</w:t>
            </w:r>
          </w:p>
          <w:p w14:paraId="452F56FC" w14:textId="77777777" w:rsidR="00CC479B" w:rsidRPr="00CC479B" w:rsidRDefault="00CC479B" w:rsidP="00CC479B">
            <w:pPr>
              <w:spacing w:after="0"/>
              <w:rPr>
                <w:rFonts w:eastAsia="Malgun Gothic" w:cs="Arial"/>
              </w:rPr>
            </w:pPr>
            <w:r w:rsidRPr="00CC479B">
              <w:rPr>
                <w:rFonts w:eastAsia="Malgun Gothic" w:cs="Arial"/>
              </w:rPr>
              <w:t xml:space="preserve">For </w:t>
            </w:r>
            <w:proofErr w:type="spellStart"/>
            <w:r w:rsidRPr="00CC479B">
              <w:rPr>
                <w:rFonts w:eastAsia="Malgun Gothic" w:cs="Arial"/>
              </w:rPr>
              <w:t>gNB</w:t>
            </w:r>
            <w:proofErr w:type="spellEnd"/>
            <w:r w:rsidRPr="00CC479B">
              <w:rPr>
                <w:rFonts w:eastAsia="Malgun Gothic" w:cs="Arial"/>
              </w:rPr>
              <w:t>-to-</w:t>
            </w:r>
            <w:proofErr w:type="spellStart"/>
            <w:r w:rsidRPr="00CC479B">
              <w:rPr>
                <w:rFonts w:eastAsia="Malgun Gothic" w:cs="Arial"/>
              </w:rPr>
              <w:t>gNB</w:t>
            </w:r>
            <w:proofErr w:type="spellEnd"/>
            <w:r w:rsidRPr="00CC479B">
              <w:rPr>
                <w:rFonts w:eastAsia="Malgun Gothic" w:cs="Arial"/>
              </w:rPr>
              <w:t xml:space="preserve"> co-channel CLI measurement, consider as baseline reusing existing DL channel(s)/signal(s)/ </w:t>
            </w:r>
            <w:proofErr w:type="spellStart"/>
            <w:r w:rsidRPr="00CC479B">
              <w:rPr>
                <w:rFonts w:eastAsia="Malgun Gothic" w:cs="Arial"/>
              </w:rPr>
              <w:t>measurement_resource</w:t>
            </w:r>
            <w:proofErr w:type="spellEnd"/>
            <w:r w:rsidRPr="00CC479B">
              <w:rPr>
                <w:rFonts w:eastAsia="Malgun Gothic" w:cs="Arial"/>
              </w:rPr>
              <w:t>(s)</w:t>
            </w:r>
          </w:p>
          <w:p w14:paraId="4428E5CD" w14:textId="77777777" w:rsidR="00CC479B" w:rsidRPr="00CC479B" w:rsidRDefault="00CC479B">
            <w:pPr>
              <w:pStyle w:val="ListParagraph"/>
              <w:numPr>
                <w:ilvl w:val="0"/>
                <w:numId w:val="9"/>
              </w:numPr>
              <w:overflowPunct w:val="0"/>
              <w:autoSpaceDE w:val="0"/>
              <w:autoSpaceDN w:val="0"/>
              <w:adjustRightInd w:val="0"/>
              <w:spacing w:after="0" w:line="240" w:lineRule="auto"/>
              <w:ind w:left="0" w:firstLine="0"/>
              <w:contextualSpacing w:val="0"/>
              <w:jc w:val="both"/>
              <w:textAlignment w:val="baseline"/>
              <w:rPr>
                <w:rFonts w:ascii="Arial" w:eastAsia="Malgun Gothic" w:hAnsi="Arial" w:cs="Arial"/>
                <w:sz w:val="20"/>
                <w:szCs w:val="20"/>
              </w:rPr>
            </w:pPr>
            <w:r w:rsidRPr="00CC479B">
              <w:rPr>
                <w:rFonts w:ascii="Arial" w:eastAsia="Malgun Gothic" w:hAnsi="Arial" w:cs="Arial"/>
                <w:sz w:val="20"/>
                <w:szCs w:val="20"/>
              </w:rPr>
              <w:t>For example, SSB, NZP/ZP-CSI-RS, DMRS for PDCCH/PDSCH, CSI-IM, RSSI measurement resource, etc.</w:t>
            </w:r>
          </w:p>
          <w:p w14:paraId="7004C4A8" w14:textId="77777777" w:rsidR="00CC479B" w:rsidRPr="00CC479B" w:rsidRDefault="00CC479B">
            <w:pPr>
              <w:pStyle w:val="ListParagraph"/>
              <w:numPr>
                <w:ilvl w:val="0"/>
                <w:numId w:val="9"/>
              </w:numPr>
              <w:overflowPunct w:val="0"/>
              <w:autoSpaceDE w:val="0"/>
              <w:autoSpaceDN w:val="0"/>
              <w:adjustRightInd w:val="0"/>
              <w:spacing w:after="0" w:line="240" w:lineRule="auto"/>
              <w:ind w:left="0" w:firstLine="0"/>
              <w:contextualSpacing w:val="0"/>
              <w:jc w:val="both"/>
              <w:textAlignment w:val="baseline"/>
              <w:rPr>
                <w:rFonts w:ascii="Arial" w:eastAsia="Malgun Gothic" w:hAnsi="Arial" w:cs="Arial"/>
                <w:sz w:val="20"/>
                <w:szCs w:val="20"/>
              </w:rPr>
            </w:pPr>
            <w:r w:rsidRPr="00CC479B">
              <w:rPr>
                <w:rFonts w:ascii="Arial" w:eastAsia="Malgun Gothic" w:hAnsi="Arial" w:cs="Arial"/>
                <w:sz w:val="20"/>
                <w:szCs w:val="20"/>
              </w:rPr>
              <w:t xml:space="preserve">FFS: Which type of DL channel(s)/signal(s) can be used for </w:t>
            </w:r>
            <w:proofErr w:type="spellStart"/>
            <w:r w:rsidRPr="00CC479B">
              <w:rPr>
                <w:rFonts w:ascii="Arial" w:eastAsia="Malgun Gothic" w:hAnsi="Arial" w:cs="Arial"/>
                <w:sz w:val="20"/>
                <w:szCs w:val="20"/>
              </w:rPr>
              <w:t>gNB</w:t>
            </w:r>
            <w:proofErr w:type="spellEnd"/>
            <w:r w:rsidRPr="00CC479B">
              <w:rPr>
                <w:rFonts w:ascii="Arial" w:eastAsia="Malgun Gothic" w:hAnsi="Arial" w:cs="Arial"/>
                <w:sz w:val="20"/>
                <w:szCs w:val="20"/>
              </w:rPr>
              <w:t>-to-</w:t>
            </w:r>
            <w:proofErr w:type="spellStart"/>
            <w:r w:rsidRPr="00CC479B">
              <w:rPr>
                <w:rFonts w:ascii="Arial" w:eastAsia="Malgun Gothic" w:hAnsi="Arial" w:cs="Arial"/>
                <w:sz w:val="20"/>
                <w:szCs w:val="20"/>
              </w:rPr>
              <w:t>gNB</w:t>
            </w:r>
            <w:proofErr w:type="spellEnd"/>
            <w:r w:rsidRPr="00CC479B">
              <w:rPr>
                <w:rFonts w:ascii="Arial" w:eastAsia="Malgun Gothic" w:hAnsi="Arial" w:cs="Arial"/>
                <w:sz w:val="20"/>
                <w:szCs w:val="20"/>
              </w:rPr>
              <w:t xml:space="preserve"> co-channel CLI measurement</w:t>
            </w:r>
          </w:p>
          <w:p w14:paraId="01F96369" w14:textId="77777777" w:rsidR="00CC479B" w:rsidRPr="00CC479B" w:rsidRDefault="00CC479B">
            <w:pPr>
              <w:pStyle w:val="ListParagraph"/>
              <w:numPr>
                <w:ilvl w:val="0"/>
                <w:numId w:val="9"/>
              </w:numPr>
              <w:overflowPunct w:val="0"/>
              <w:autoSpaceDE w:val="0"/>
              <w:autoSpaceDN w:val="0"/>
              <w:adjustRightInd w:val="0"/>
              <w:spacing w:after="0" w:line="240" w:lineRule="auto"/>
              <w:ind w:left="0" w:firstLine="0"/>
              <w:contextualSpacing w:val="0"/>
              <w:jc w:val="both"/>
              <w:textAlignment w:val="baseline"/>
              <w:rPr>
                <w:rFonts w:ascii="Arial" w:eastAsia="Malgun Gothic" w:hAnsi="Arial" w:cs="Arial"/>
                <w:sz w:val="20"/>
                <w:szCs w:val="20"/>
              </w:rPr>
            </w:pPr>
            <w:r w:rsidRPr="00CC479B">
              <w:rPr>
                <w:rFonts w:ascii="Arial" w:eastAsia="Malgun Gothic" w:hAnsi="Arial" w:cs="Arial"/>
                <w:sz w:val="20"/>
                <w:szCs w:val="20"/>
              </w:rPr>
              <w:t>FFS: How resources are used/configured</w:t>
            </w:r>
          </w:p>
          <w:p w14:paraId="576768B8" w14:textId="77777777" w:rsidR="00CC479B" w:rsidRPr="00CC479B" w:rsidRDefault="00CC479B" w:rsidP="00CC479B">
            <w:pPr>
              <w:spacing w:after="0"/>
              <w:rPr>
                <w:rFonts w:cs="Arial"/>
                <w:b/>
                <w:bCs/>
              </w:rPr>
            </w:pPr>
          </w:p>
          <w:p w14:paraId="35292FD1" w14:textId="77777777" w:rsidR="00CC479B" w:rsidRPr="00CC479B" w:rsidRDefault="00CC479B" w:rsidP="00CC479B">
            <w:pPr>
              <w:spacing w:after="0"/>
              <w:rPr>
                <w:rFonts w:cs="Arial"/>
                <w:b/>
                <w:bCs/>
              </w:rPr>
            </w:pPr>
            <w:r w:rsidRPr="00CC479B">
              <w:rPr>
                <w:rFonts w:cs="Arial"/>
                <w:b/>
                <w:bCs/>
              </w:rPr>
              <w:t>Agreement</w:t>
            </w:r>
          </w:p>
          <w:p w14:paraId="081C2EA9" w14:textId="77777777" w:rsidR="00CC479B" w:rsidRPr="00CC479B" w:rsidRDefault="00CC479B" w:rsidP="00CC479B">
            <w:pPr>
              <w:spacing w:after="0"/>
              <w:rPr>
                <w:rFonts w:eastAsia="Malgun Gothic" w:cs="Arial"/>
              </w:rPr>
            </w:pPr>
            <w:r w:rsidRPr="00CC479B">
              <w:rPr>
                <w:rFonts w:eastAsia="Malgun Gothic" w:cs="Arial"/>
              </w:rPr>
              <w:t xml:space="preserve">For details of spatial domain coordination method for </w:t>
            </w:r>
            <w:proofErr w:type="spellStart"/>
            <w:r w:rsidRPr="00CC479B">
              <w:rPr>
                <w:rFonts w:eastAsia="Malgun Gothic" w:cs="Arial"/>
              </w:rPr>
              <w:t>gNB</w:t>
            </w:r>
            <w:proofErr w:type="spellEnd"/>
            <w:r w:rsidRPr="00CC479B">
              <w:rPr>
                <w:rFonts w:eastAsia="Malgun Gothic" w:cs="Arial"/>
              </w:rPr>
              <w:t>-to-</w:t>
            </w:r>
            <w:proofErr w:type="spellStart"/>
            <w:r w:rsidRPr="00CC479B">
              <w:rPr>
                <w:rFonts w:eastAsia="Malgun Gothic" w:cs="Arial"/>
              </w:rPr>
              <w:t>gNB</w:t>
            </w:r>
            <w:proofErr w:type="spellEnd"/>
            <w:r w:rsidRPr="00CC479B">
              <w:rPr>
                <w:rFonts w:eastAsia="Malgun Gothic" w:cs="Arial"/>
              </w:rPr>
              <w:t xml:space="preserve"> co-channel CLI handling, at least followings can be studied. </w:t>
            </w:r>
          </w:p>
          <w:p w14:paraId="3C36B2AE" w14:textId="77777777" w:rsidR="00CC479B" w:rsidRPr="00CC479B" w:rsidRDefault="00CC479B">
            <w:pPr>
              <w:numPr>
                <w:ilvl w:val="0"/>
                <w:numId w:val="12"/>
              </w:numPr>
              <w:suppressAutoHyphens/>
              <w:overflowPunct/>
              <w:autoSpaceDE/>
              <w:autoSpaceDN/>
              <w:adjustRightInd/>
              <w:spacing w:after="0"/>
              <w:ind w:left="0" w:firstLine="0"/>
              <w:rPr>
                <w:rFonts w:eastAsia="Malgun Gothic" w:cs="Arial"/>
              </w:rPr>
            </w:pPr>
            <w:r w:rsidRPr="00CC479B">
              <w:rPr>
                <w:rFonts w:eastAsia="Malgun Gothic" w:cs="Arial"/>
              </w:rPr>
              <w:t xml:space="preserve">Recommended/restricted Beams between </w:t>
            </w:r>
            <w:proofErr w:type="spellStart"/>
            <w:r w:rsidRPr="00CC479B">
              <w:rPr>
                <w:rFonts w:eastAsia="Malgun Gothic" w:cs="Arial"/>
              </w:rPr>
              <w:t>gNBs</w:t>
            </w:r>
            <w:proofErr w:type="spellEnd"/>
          </w:p>
          <w:p w14:paraId="19719A46" w14:textId="77777777" w:rsidR="00CC479B" w:rsidRPr="00CC479B" w:rsidRDefault="00CC479B">
            <w:pPr>
              <w:numPr>
                <w:ilvl w:val="0"/>
                <w:numId w:val="12"/>
              </w:numPr>
              <w:suppressAutoHyphens/>
              <w:overflowPunct/>
              <w:autoSpaceDE/>
              <w:autoSpaceDN/>
              <w:adjustRightInd/>
              <w:spacing w:after="0"/>
              <w:ind w:left="0" w:firstLine="0"/>
              <w:rPr>
                <w:rFonts w:eastAsia="Malgun Gothic" w:cs="Arial"/>
              </w:rPr>
            </w:pPr>
            <w:r w:rsidRPr="00CC479B">
              <w:rPr>
                <w:rFonts w:eastAsia="Malgun Gothic" w:cs="Arial"/>
                <w:iCs/>
              </w:rPr>
              <w:t xml:space="preserve">Beam nulling between </w:t>
            </w:r>
            <w:proofErr w:type="spellStart"/>
            <w:r w:rsidRPr="00CC479B">
              <w:rPr>
                <w:rFonts w:eastAsia="Malgun Gothic" w:cs="Arial"/>
                <w:iCs/>
              </w:rPr>
              <w:t>gNBs</w:t>
            </w:r>
            <w:proofErr w:type="spellEnd"/>
          </w:p>
          <w:p w14:paraId="363839D6" w14:textId="77777777" w:rsidR="00CC479B" w:rsidRPr="00CC479B" w:rsidRDefault="00CC479B">
            <w:pPr>
              <w:numPr>
                <w:ilvl w:val="0"/>
                <w:numId w:val="12"/>
              </w:numPr>
              <w:suppressAutoHyphens/>
              <w:overflowPunct/>
              <w:autoSpaceDE/>
              <w:autoSpaceDN/>
              <w:adjustRightInd/>
              <w:spacing w:after="0"/>
              <w:ind w:left="0" w:firstLine="0"/>
              <w:rPr>
                <w:rFonts w:eastAsia="Malgun Gothic" w:cs="Arial"/>
              </w:rPr>
            </w:pPr>
            <w:r w:rsidRPr="00CC479B">
              <w:rPr>
                <w:rFonts w:eastAsia="Malgun Gothic" w:cs="Arial"/>
                <w:iCs/>
              </w:rPr>
              <w:t xml:space="preserve">Beam pairing between </w:t>
            </w:r>
            <w:proofErr w:type="spellStart"/>
            <w:r w:rsidRPr="00CC479B">
              <w:rPr>
                <w:rFonts w:eastAsia="Malgun Gothic" w:cs="Arial"/>
                <w:iCs/>
              </w:rPr>
              <w:t>gNBs</w:t>
            </w:r>
            <w:proofErr w:type="spellEnd"/>
          </w:p>
          <w:p w14:paraId="260F8862" w14:textId="77777777" w:rsidR="00CC479B" w:rsidRPr="00CC479B" w:rsidRDefault="00CC479B">
            <w:pPr>
              <w:numPr>
                <w:ilvl w:val="0"/>
                <w:numId w:val="12"/>
              </w:numPr>
              <w:suppressAutoHyphens/>
              <w:overflowPunct/>
              <w:autoSpaceDE/>
              <w:autoSpaceDN/>
              <w:adjustRightInd/>
              <w:spacing w:after="0"/>
              <w:ind w:left="0" w:firstLine="0"/>
              <w:rPr>
                <w:rFonts w:eastAsia="Malgun Gothic" w:cs="Arial"/>
              </w:rPr>
            </w:pPr>
            <w:r w:rsidRPr="00CC479B">
              <w:rPr>
                <w:rFonts w:eastAsia="Malgun Gothic" w:cs="Arial"/>
                <w:iCs/>
              </w:rPr>
              <w:t>Other schemes are not precluded.</w:t>
            </w:r>
            <w:r w:rsidRPr="00CC479B">
              <w:rPr>
                <w:rFonts w:eastAsia="Malgun Gothic" w:cs="Arial"/>
              </w:rPr>
              <w:t xml:space="preserve"> </w:t>
            </w:r>
          </w:p>
          <w:p w14:paraId="3CEFCF93" w14:textId="77777777" w:rsidR="00CC479B" w:rsidRPr="00CC479B" w:rsidRDefault="00CC479B" w:rsidP="00CC479B">
            <w:pPr>
              <w:spacing w:after="0"/>
              <w:rPr>
                <w:rFonts w:cs="Arial"/>
                <w:b/>
                <w:bCs/>
              </w:rPr>
            </w:pPr>
          </w:p>
          <w:p w14:paraId="56FB082D" w14:textId="77777777" w:rsidR="00CC479B" w:rsidRPr="00CC479B" w:rsidRDefault="00CC479B" w:rsidP="00CC479B">
            <w:pPr>
              <w:spacing w:after="0"/>
              <w:rPr>
                <w:rFonts w:cs="Arial"/>
                <w:b/>
                <w:bCs/>
              </w:rPr>
            </w:pPr>
            <w:r w:rsidRPr="00CC479B">
              <w:rPr>
                <w:rFonts w:cs="Arial"/>
                <w:b/>
                <w:bCs/>
              </w:rPr>
              <w:t>Agreement</w:t>
            </w:r>
          </w:p>
          <w:p w14:paraId="77759504" w14:textId="77777777" w:rsidR="00CC479B" w:rsidRPr="00CC479B" w:rsidRDefault="00CC479B" w:rsidP="00CC479B">
            <w:pPr>
              <w:spacing w:after="0"/>
              <w:rPr>
                <w:rFonts w:eastAsia="Malgun Gothic" w:cs="Arial"/>
              </w:rPr>
            </w:pPr>
            <w:r w:rsidRPr="00CC479B">
              <w:rPr>
                <w:rFonts w:eastAsia="Malgun Gothic" w:cs="Arial"/>
              </w:rPr>
              <w:t>For UE-to-UE co-channel CLI measurement, consider as baseline reusing existing channel(s)/ signal(s)/ measurement resource(s)</w:t>
            </w:r>
          </w:p>
          <w:p w14:paraId="74E29F27" w14:textId="77777777" w:rsidR="00CC479B" w:rsidRPr="00CC479B" w:rsidRDefault="00CC479B">
            <w:pPr>
              <w:pStyle w:val="ListParagraph"/>
              <w:numPr>
                <w:ilvl w:val="0"/>
                <w:numId w:val="10"/>
              </w:numPr>
              <w:overflowPunct w:val="0"/>
              <w:autoSpaceDE w:val="0"/>
              <w:autoSpaceDN w:val="0"/>
              <w:adjustRightInd w:val="0"/>
              <w:spacing w:after="0" w:line="240" w:lineRule="auto"/>
              <w:ind w:left="0" w:firstLine="0"/>
              <w:contextualSpacing w:val="0"/>
              <w:jc w:val="both"/>
              <w:textAlignment w:val="baseline"/>
              <w:rPr>
                <w:rFonts w:ascii="Arial" w:hAnsi="Arial" w:cs="Arial"/>
                <w:sz w:val="20"/>
                <w:szCs w:val="20"/>
              </w:rPr>
            </w:pPr>
            <w:r w:rsidRPr="00CC479B">
              <w:rPr>
                <w:rFonts w:ascii="Arial" w:eastAsia="Malgun Gothic" w:hAnsi="Arial" w:cs="Arial"/>
                <w:sz w:val="20"/>
                <w:szCs w:val="20"/>
              </w:rPr>
              <w:t>For example, SRS resources defined in Rel-16 for SRS-RSRP measurement, CLI-RSSI resources defined in Rel-16 for CLI-RSSI measurement</w:t>
            </w:r>
          </w:p>
          <w:p w14:paraId="3500A02B" w14:textId="77777777" w:rsidR="00CC479B" w:rsidRPr="00CC479B" w:rsidRDefault="00CC479B">
            <w:pPr>
              <w:pStyle w:val="ListParagraph"/>
              <w:numPr>
                <w:ilvl w:val="1"/>
                <w:numId w:val="10"/>
              </w:numPr>
              <w:overflowPunct w:val="0"/>
              <w:autoSpaceDE w:val="0"/>
              <w:autoSpaceDN w:val="0"/>
              <w:adjustRightInd w:val="0"/>
              <w:spacing w:after="0" w:line="240" w:lineRule="auto"/>
              <w:ind w:left="0" w:firstLine="0"/>
              <w:contextualSpacing w:val="0"/>
              <w:jc w:val="both"/>
              <w:textAlignment w:val="baseline"/>
              <w:rPr>
                <w:rFonts w:ascii="Arial" w:eastAsia="Malgun Gothic" w:hAnsi="Arial" w:cs="Arial"/>
                <w:sz w:val="20"/>
                <w:szCs w:val="20"/>
              </w:rPr>
            </w:pPr>
            <w:r w:rsidRPr="00CC479B">
              <w:rPr>
                <w:rFonts w:ascii="Arial" w:hAnsi="Arial" w:cs="Arial"/>
                <w:sz w:val="20"/>
                <w:szCs w:val="20"/>
              </w:rPr>
              <w:t>FFS potential enhancements</w:t>
            </w:r>
          </w:p>
          <w:p w14:paraId="740D54FB" w14:textId="77777777" w:rsidR="00CC479B" w:rsidRPr="00CC479B" w:rsidRDefault="00CC479B" w:rsidP="00CC479B">
            <w:pPr>
              <w:spacing w:after="0"/>
              <w:rPr>
                <w:rFonts w:cs="Arial"/>
                <w:b/>
                <w:bCs/>
              </w:rPr>
            </w:pPr>
          </w:p>
          <w:p w14:paraId="3E820656" w14:textId="77777777" w:rsidR="00CC479B" w:rsidRPr="00CC479B" w:rsidRDefault="00CC479B" w:rsidP="00CC479B">
            <w:pPr>
              <w:spacing w:after="0"/>
              <w:rPr>
                <w:rFonts w:cs="Arial"/>
                <w:b/>
                <w:bCs/>
              </w:rPr>
            </w:pPr>
            <w:r w:rsidRPr="00CC479B">
              <w:rPr>
                <w:rFonts w:cs="Arial"/>
                <w:b/>
                <w:bCs/>
              </w:rPr>
              <w:t>Agreement</w:t>
            </w:r>
          </w:p>
          <w:p w14:paraId="1D39F37A" w14:textId="77777777" w:rsidR="00CC479B" w:rsidRPr="00CC479B" w:rsidRDefault="00CC479B" w:rsidP="00CC479B">
            <w:pPr>
              <w:spacing w:after="0"/>
              <w:rPr>
                <w:rFonts w:eastAsia="Malgun Gothic" w:cs="Arial"/>
              </w:rPr>
            </w:pPr>
            <w:r w:rsidRPr="00CC479B">
              <w:rPr>
                <w:rFonts w:eastAsia="Malgun Gothic" w:cs="Arial"/>
              </w:rPr>
              <w:t>For UE-to-UE co-channel CLI handling, study L1/L2 based UE-to-UE CLI measurement and reporting</w:t>
            </w:r>
          </w:p>
          <w:p w14:paraId="533E47D1" w14:textId="77777777" w:rsidR="00CC479B" w:rsidRPr="00CC479B" w:rsidRDefault="00CC479B">
            <w:pPr>
              <w:numPr>
                <w:ilvl w:val="0"/>
                <w:numId w:val="11"/>
              </w:numPr>
              <w:suppressAutoHyphens/>
              <w:overflowPunct/>
              <w:autoSpaceDE/>
              <w:autoSpaceDN/>
              <w:adjustRightInd/>
              <w:spacing w:after="0"/>
              <w:ind w:left="0" w:firstLine="0"/>
              <w:rPr>
                <w:rFonts w:eastAsia="Malgun Gothic" w:cs="Arial"/>
              </w:rPr>
            </w:pPr>
            <w:r w:rsidRPr="00CC479B">
              <w:rPr>
                <w:rFonts w:eastAsia="Malgun Gothic" w:cs="Arial"/>
              </w:rPr>
              <w:t xml:space="preserve">the </w:t>
            </w:r>
            <w:r w:rsidRPr="00CC479B">
              <w:rPr>
                <w:rFonts w:eastAsia="SimSun" w:cs="Arial"/>
                <w:lang w:eastAsia="x-none" w:bidi="hi-IN"/>
              </w:rPr>
              <w:t>benefits of L1/L2 based CLI measurement</w:t>
            </w:r>
            <w:r w:rsidRPr="00CC479B">
              <w:rPr>
                <w:rFonts w:eastAsia="Malgun Gothic" w:cs="Arial"/>
              </w:rPr>
              <w:t xml:space="preserve"> and reporting compared with existing L3 CLI/CSI measurement and report with evaluation result</w:t>
            </w:r>
          </w:p>
          <w:p w14:paraId="1755F51F" w14:textId="77777777" w:rsidR="00CC479B" w:rsidRPr="00CC479B" w:rsidRDefault="00CC479B">
            <w:pPr>
              <w:numPr>
                <w:ilvl w:val="0"/>
                <w:numId w:val="11"/>
              </w:numPr>
              <w:suppressAutoHyphens/>
              <w:overflowPunct/>
              <w:autoSpaceDE/>
              <w:autoSpaceDN/>
              <w:adjustRightInd/>
              <w:spacing w:after="0"/>
              <w:ind w:left="0" w:firstLine="0"/>
              <w:rPr>
                <w:rFonts w:eastAsia="Malgun Gothic" w:cs="Arial"/>
              </w:rPr>
            </w:pPr>
            <w:r w:rsidRPr="00CC479B">
              <w:rPr>
                <w:rFonts w:eastAsia="SimSun" w:cs="Arial"/>
              </w:rPr>
              <w:t xml:space="preserve">Note: </w:t>
            </w:r>
            <w:r w:rsidRPr="00CC479B">
              <w:rPr>
                <w:rFonts w:eastAsia="Malgun Gothic" w:cs="Arial"/>
              </w:rPr>
              <w:t>Accounting for</w:t>
            </w:r>
            <w:r w:rsidRPr="00CC479B">
              <w:rPr>
                <w:rFonts w:eastAsia="SimSun" w:cs="Arial"/>
              </w:rPr>
              <w:t xml:space="preserve"> information exchange delay between </w:t>
            </w:r>
            <w:proofErr w:type="spellStart"/>
            <w:r w:rsidRPr="00CC479B">
              <w:rPr>
                <w:rFonts w:eastAsia="SimSun" w:cs="Arial"/>
              </w:rPr>
              <w:t>gNBs</w:t>
            </w:r>
            <w:proofErr w:type="spellEnd"/>
            <w:r w:rsidRPr="00CC479B">
              <w:rPr>
                <w:rFonts w:eastAsia="Malgun Gothic" w:cs="Arial"/>
              </w:rPr>
              <w:t xml:space="preserve"> (if applicable)</w:t>
            </w:r>
          </w:p>
          <w:p w14:paraId="57A951B8" w14:textId="77777777" w:rsidR="00CC479B" w:rsidRPr="00CC479B" w:rsidRDefault="00CC479B">
            <w:pPr>
              <w:numPr>
                <w:ilvl w:val="0"/>
                <w:numId w:val="11"/>
              </w:numPr>
              <w:suppressAutoHyphens/>
              <w:overflowPunct/>
              <w:autoSpaceDE/>
              <w:autoSpaceDN/>
              <w:adjustRightInd/>
              <w:spacing w:after="0"/>
              <w:ind w:left="0" w:firstLine="0"/>
              <w:rPr>
                <w:rFonts w:eastAsia="Malgun Gothic" w:cs="Arial"/>
              </w:rPr>
            </w:pPr>
            <w:r w:rsidRPr="00CC479B">
              <w:rPr>
                <w:rFonts w:eastAsia="Malgun Gothic" w:cs="Arial"/>
              </w:rPr>
              <w:t>Note: Accounting for</w:t>
            </w:r>
            <w:r w:rsidRPr="00CC479B">
              <w:rPr>
                <w:rFonts w:eastAsia="Malgun Gothic" w:cs="Arial"/>
                <w:color w:val="FF0000"/>
              </w:rPr>
              <w:t xml:space="preserve"> </w:t>
            </w:r>
            <w:r w:rsidRPr="00CC479B">
              <w:rPr>
                <w:rFonts w:eastAsia="Malgun Gothic" w:cs="Arial"/>
              </w:rPr>
              <w:t>UE processing/reporting delay – companies to share their assumptions</w:t>
            </w:r>
          </w:p>
          <w:p w14:paraId="15B0E72C" w14:textId="77777777" w:rsidR="00CC479B" w:rsidRPr="00CC479B" w:rsidRDefault="00CC479B">
            <w:pPr>
              <w:numPr>
                <w:ilvl w:val="0"/>
                <w:numId w:val="11"/>
              </w:numPr>
              <w:suppressAutoHyphens/>
              <w:overflowPunct/>
              <w:autoSpaceDE/>
              <w:autoSpaceDN/>
              <w:adjustRightInd/>
              <w:spacing w:after="0"/>
              <w:ind w:left="0" w:firstLine="0"/>
              <w:rPr>
                <w:rFonts w:eastAsia="Malgun Gothic" w:cs="Arial"/>
                <w:b/>
                <w:bCs/>
                <w:u w:val="single"/>
              </w:rPr>
            </w:pPr>
            <w:r w:rsidRPr="00CC479B">
              <w:rPr>
                <w:rFonts w:eastAsia="Malgun Gothic" w:cs="Arial"/>
              </w:rPr>
              <w:t xml:space="preserve">Note: Proponents are encouraged to provide </w:t>
            </w:r>
            <w:r w:rsidRPr="00CC479B">
              <w:rPr>
                <w:rFonts w:eastAsia="SimSun" w:cs="Arial"/>
                <w:lang w:eastAsia="x-none" w:bidi="hi-IN"/>
              </w:rPr>
              <w:t>the mechanism of L1/L2 based CLI measurement</w:t>
            </w:r>
            <w:r w:rsidRPr="00CC479B">
              <w:rPr>
                <w:rFonts w:eastAsia="Malgun Gothic" w:cs="Arial"/>
              </w:rPr>
              <w:t xml:space="preserve"> and reporting, and to provide</w:t>
            </w:r>
            <w:r w:rsidRPr="00CC479B">
              <w:rPr>
                <w:rFonts w:eastAsia="Malgun Gothic" w:cs="Arial"/>
                <w:u w:val="single"/>
              </w:rPr>
              <w:t xml:space="preserve"> </w:t>
            </w:r>
          </w:p>
          <w:p w14:paraId="243BD593" w14:textId="1AFC0185" w:rsidR="006912C6" w:rsidRDefault="006912C6" w:rsidP="00CC479B">
            <w:pPr>
              <w:spacing w:after="0"/>
              <w:rPr>
                <w:rFonts w:cs="Arial"/>
              </w:rPr>
            </w:pPr>
          </w:p>
        </w:tc>
      </w:tr>
    </w:tbl>
    <w:p w14:paraId="202ED8E5" w14:textId="77777777" w:rsidR="006912C6" w:rsidRDefault="006912C6" w:rsidP="006912C6">
      <w:pPr>
        <w:spacing w:line="276" w:lineRule="auto"/>
        <w:rPr>
          <w:rFonts w:cs="Arial"/>
        </w:rPr>
      </w:pPr>
    </w:p>
    <w:p w14:paraId="0D90D381" w14:textId="2D484529" w:rsidR="006912C6" w:rsidRDefault="006912C6" w:rsidP="006912C6">
      <w:pPr>
        <w:spacing w:line="276" w:lineRule="auto"/>
        <w:rPr>
          <w:rFonts w:cs="Arial"/>
        </w:rPr>
      </w:pPr>
      <w:r w:rsidRPr="006912C6">
        <w:rPr>
          <w:rFonts w:cs="Arial"/>
        </w:rPr>
        <w:t xml:space="preserve">In this contribution, </w:t>
      </w:r>
      <w:r w:rsidR="00CC479B" w:rsidRPr="00CC479B">
        <w:rPr>
          <w:rFonts w:cs="Arial"/>
        </w:rPr>
        <w:t xml:space="preserve">we discuss dynamic/flexible TDD operations in NR based on an analysis on CLI effects with our initial simulation results and discuss potential issues on spatial domain enhancement, UE and </w:t>
      </w:r>
      <w:proofErr w:type="spellStart"/>
      <w:r w:rsidR="00CC479B" w:rsidRPr="00CC479B">
        <w:rPr>
          <w:rFonts w:cs="Arial"/>
        </w:rPr>
        <w:t>gNB</w:t>
      </w:r>
      <w:proofErr w:type="spellEnd"/>
      <w:r w:rsidR="00CC479B" w:rsidRPr="00CC479B">
        <w:rPr>
          <w:rFonts w:cs="Arial"/>
        </w:rPr>
        <w:t xml:space="preserve"> transmission and reception timing alignment, power control solutions, and enhancements in UE-to-UE measurement and reporting techniques.</w:t>
      </w:r>
    </w:p>
    <w:p w14:paraId="197E28B8" w14:textId="31263EB6" w:rsidR="005605E9" w:rsidRDefault="00277FF0" w:rsidP="005605E9">
      <w:pPr>
        <w:pStyle w:val="Heading1"/>
      </w:pPr>
      <w:r>
        <w:lastRenderedPageBreak/>
        <w:t>Discussion</w:t>
      </w:r>
      <w:r w:rsidR="006912C6">
        <w:t>s</w:t>
      </w:r>
    </w:p>
    <w:p w14:paraId="3CF46C80" w14:textId="5F86659C" w:rsidR="00BB581B" w:rsidRPr="00D91571" w:rsidRDefault="00CC479B" w:rsidP="00BB581B">
      <w:pPr>
        <w:pStyle w:val="Heading2"/>
      </w:pPr>
      <w:r w:rsidRPr="00CC479B">
        <w:t>UE-to-UE CLI mitigation techniques in dynamic/flexible TDD operations in NR</w:t>
      </w:r>
    </w:p>
    <w:p w14:paraId="6A68521D"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w:t>
      </w:r>
      <w:r w:rsidRPr="00CC479B">
        <w:rPr>
          <w:rFonts w:cs="Arial"/>
          <w:sz w:val="20"/>
          <w:szCs w:val="20"/>
          <w:lang w:val="en-GB"/>
        </w:rPr>
        <w:t>time division duplex (</w:t>
      </w:r>
      <w:r w:rsidRPr="00CC479B">
        <w:rPr>
          <w:rFonts w:eastAsia="Times New Roman" w:cs="Arial"/>
          <w:color w:val="000000"/>
          <w:sz w:val="20"/>
          <w:szCs w:val="20"/>
        </w:rPr>
        <w:t>TDD), a transmission pattern is configured per slot, where the patterns include uplink (UL), downlink (DL) and flexible (F). While the UL and DL slots include symbols dedicated for UL and DL, respectively, the transmission pattern for the symbols in flexible slots can be configured based on Slot Format.</w:t>
      </w:r>
    </w:p>
    <w:p w14:paraId="3F23122E"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Rel-17, for TDD operation, a UE may be configured by higher layers to operate with a specific pattern of UL, DL, and flexible (F) slots and symbols per slot. For example, the RRC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provides the general pattern of slots within the configured periodicity. As for the flexible slots,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is used to override transmission pattern in flexible symbols per slot. For a set of symbols of a slot that are indicated as flexible by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or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a UE may receive a DCI format 2_0 with an SFI-index field value that indicates (a new) slot format [2]. </w:t>
      </w:r>
    </w:p>
    <w:p w14:paraId="3F7D3AE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Such level of flexibility can be used to allocate UL and DL capacity more dynamically and improve system spectrum efficiency. However, the transmission patterns’ flexibility can also cause cross-link interference (CLI) for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-to-</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and UE-to-UE connections. For example, UL-to-DL interference may cause a UE-to-UE CLI when a DL transmission takes place at the same time as an UL transmission, on fully overlapping or partially overlapping frequency resources (i.e., intra-</w:t>
      </w:r>
      <w:proofErr w:type="spellStart"/>
      <w:r w:rsidRPr="00CC479B">
        <w:rPr>
          <w:rFonts w:eastAsia="Times New Roman" w:cs="Arial"/>
          <w:color w:val="000000"/>
          <w:sz w:val="20"/>
          <w:szCs w:val="20"/>
        </w:rPr>
        <w:t>subband</w:t>
      </w:r>
      <w:proofErr w:type="spellEnd"/>
      <w:r w:rsidRPr="00CC479B">
        <w:rPr>
          <w:rFonts w:eastAsia="Times New Roman" w:cs="Arial"/>
          <w:color w:val="000000"/>
          <w:sz w:val="20"/>
          <w:szCs w:val="20"/>
        </w:rPr>
        <w:t xml:space="preserve"> CLI).  </w:t>
      </w:r>
    </w:p>
    <w:p w14:paraId="4249F26F" w14:textId="77777777" w:rsidR="00CC479B" w:rsidRPr="00CC479B" w:rsidRDefault="00CC479B" w:rsidP="00CC479B">
      <w:pPr>
        <w:pStyle w:val="BodyText"/>
        <w:spacing w:line="240" w:lineRule="auto"/>
        <w:jc w:val="both"/>
        <w:rPr>
          <w:rFonts w:eastAsia="Times New Roman" w:cs="Arial"/>
          <w:color w:val="000000"/>
          <w:sz w:val="20"/>
          <w:szCs w:val="20"/>
        </w:rPr>
      </w:pPr>
    </w:p>
    <w:p w14:paraId="29E6547B"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We believe that the techniques that could impressively affect the performance in UE-to-UE CLI mitigation are the </w:t>
      </w:r>
      <w:bookmarkStart w:id="1" w:name="_Hlk115363612"/>
      <w:r w:rsidRPr="00CC479B">
        <w:rPr>
          <w:rFonts w:eastAsia="Times New Roman" w:cs="Arial"/>
          <w:color w:val="000000"/>
          <w:sz w:val="20"/>
          <w:szCs w:val="20"/>
        </w:rPr>
        <w:t xml:space="preserve">spatial domain enhancements, UE and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transmission and reception timing alignment, power control solutions, beam monitoring mechanisms, a</w:t>
      </w:r>
      <w:r w:rsidRPr="00CC479B">
        <w:rPr>
          <w:rFonts w:eastAsia="SimSun" w:cs="Arial"/>
          <w:sz w:val="20"/>
          <w:szCs w:val="20"/>
        </w:rPr>
        <w:t>nd finally enhancements in UE-to-UE measurement and reporting techniques</w:t>
      </w:r>
      <w:bookmarkEnd w:id="1"/>
      <w:r w:rsidRPr="00CC479B">
        <w:rPr>
          <w:rFonts w:eastAsia="Times New Roman" w:cs="Arial"/>
          <w:color w:val="000000"/>
          <w:sz w:val="20"/>
          <w:szCs w:val="20"/>
        </w:rPr>
        <w:t xml:space="preserve">. In this section the different aspects are investigated. </w:t>
      </w:r>
    </w:p>
    <w:p w14:paraId="0443C974" w14:textId="77777777" w:rsidR="00CC479B" w:rsidRPr="00CC479B" w:rsidRDefault="00CC479B" w:rsidP="00CC479B">
      <w:pPr>
        <w:rPr>
          <w:rFonts w:cs="Arial"/>
          <w:i/>
          <w:iCs/>
        </w:rPr>
      </w:pPr>
      <w:r w:rsidRPr="00CC479B">
        <w:rPr>
          <w:rFonts w:cs="Arial"/>
          <w:b/>
          <w:bCs/>
          <w:i/>
          <w:iCs/>
        </w:rPr>
        <w:t xml:space="preserve">Proposal 1. </w:t>
      </w:r>
      <w:r w:rsidRPr="00CC479B">
        <w:rPr>
          <w:rFonts w:cs="Arial"/>
          <w:i/>
          <w:iCs/>
        </w:rPr>
        <w:t>Prioritize study on following topics in UE-to-UE CLI mitigation:</w:t>
      </w:r>
    </w:p>
    <w:p w14:paraId="379427A8"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Potential enhancements to UE-to-UE CLI measurement/reporting, </w:t>
      </w:r>
    </w:p>
    <w:p w14:paraId="49C21A91" w14:textId="77777777" w:rsidR="00CC479B" w:rsidRPr="00CC479B" w:rsidRDefault="00CC479B">
      <w:pPr>
        <w:pStyle w:val="ListParagraph"/>
        <w:numPr>
          <w:ilvl w:val="1"/>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Including L1 measurement/ reporting,</w:t>
      </w:r>
    </w:p>
    <w:p w14:paraId="368211E8"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Spatial domain enhancements, </w:t>
      </w:r>
    </w:p>
    <w:p w14:paraId="36F5B3F8"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UE and </w:t>
      </w:r>
      <w:proofErr w:type="spellStart"/>
      <w:r w:rsidRPr="00CC479B">
        <w:rPr>
          <w:rFonts w:ascii="Arial" w:hAnsi="Arial" w:cs="Arial"/>
          <w:i/>
          <w:iCs/>
          <w:sz w:val="20"/>
          <w:szCs w:val="20"/>
        </w:rPr>
        <w:t>gNB</w:t>
      </w:r>
      <w:proofErr w:type="spellEnd"/>
      <w:r w:rsidRPr="00CC479B">
        <w:rPr>
          <w:rFonts w:ascii="Arial" w:hAnsi="Arial" w:cs="Arial"/>
          <w:i/>
          <w:iCs/>
          <w:sz w:val="20"/>
          <w:szCs w:val="20"/>
        </w:rPr>
        <w:t xml:space="preserve"> transmission and reception timing alignments,</w:t>
      </w:r>
    </w:p>
    <w:p w14:paraId="0B05FDE6"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Power-control-based solutions,</w:t>
      </w:r>
    </w:p>
    <w:p w14:paraId="7FEA1AFF"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CLI mitigation via monitoring beams.</w:t>
      </w:r>
    </w:p>
    <w:p w14:paraId="531A9C8D" w14:textId="1F31691D" w:rsidR="00CC479B" w:rsidRPr="00CC479B" w:rsidRDefault="00CC479B" w:rsidP="00CC479B">
      <w:pPr>
        <w:pStyle w:val="BodyText"/>
        <w:spacing w:line="240" w:lineRule="auto"/>
        <w:jc w:val="both"/>
        <w:rPr>
          <w:rFonts w:eastAsia="Times New Roman" w:cs="Arial"/>
          <w:color w:val="000000"/>
          <w:sz w:val="20"/>
          <w:szCs w:val="20"/>
        </w:rPr>
      </w:pPr>
    </w:p>
    <w:p w14:paraId="7AD51F6C" w14:textId="6C35EE28" w:rsidR="00CC479B" w:rsidRPr="00D91571" w:rsidRDefault="00CC479B" w:rsidP="00CC479B">
      <w:pPr>
        <w:pStyle w:val="Heading3"/>
      </w:pPr>
      <w:r w:rsidRPr="00CC479B">
        <w:t>Enhanced CLI measurement and reporting in UE-to-UE CLI mitigation</w:t>
      </w:r>
    </w:p>
    <w:p w14:paraId="12B56738" w14:textId="7AF9FF35" w:rsidR="00CC479B" w:rsidRPr="00D91571" w:rsidRDefault="00CC479B" w:rsidP="00CC479B">
      <w:pPr>
        <w:pStyle w:val="Heading4"/>
      </w:pPr>
      <w:r w:rsidRPr="00CC479B">
        <w:t>Distinguishing aggressor UEs in UE-to-UE CLI mitigation</w:t>
      </w:r>
    </w:p>
    <w:p w14:paraId="5832886F"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RAN1#110bis-e, it was agreed to consider reusing existing channel and interference techniques, including channels, signals, and measurement resources for UE-to-UE co-channel CLI measurements. </w:t>
      </w:r>
    </w:p>
    <w:p w14:paraId="25A8FEEA"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NR, there are several interference </w:t>
      </w:r>
      <w:proofErr w:type="gramStart"/>
      <w:r w:rsidRPr="00CC479B">
        <w:rPr>
          <w:rFonts w:cs="Arial"/>
          <w:sz w:val="20"/>
          <w:szCs w:val="20"/>
        </w:rPr>
        <w:t>measurement</w:t>
      </w:r>
      <w:proofErr w:type="gramEnd"/>
      <w:r w:rsidRPr="00CC479B">
        <w:rPr>
          <w:rFonts w:cs="Arial"/>
          <w:sz w:val="20"/>
          <w:szCs w:val="20"/>
        </w:rPr>
        <w:t xml:space="preserve">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5F4822C2"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6D6A5ED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lastRenderedPageBreak/>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24C458CF"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1B8FD1CC" w14:textId="77777777" w:rsidR="00CC479B" w:rsidRPr="00CC479B" w:rsidRDefault="00CC479B" w:rsidP="00CC479B">
      <w:pPr>
        <w:rPr>
          <w:rFonts w:cs="Arial"/>
          <w:i/>
          <w:iCs/>
        </w:rPr>
      </w:pPr>
      <w:r w:rsidRPr="00CC479B">
        <w:rPr>
          <w:rFonts w:cs="Arial"/>
          <w:b/>
          <w:bCs/>
          <w:i/>
          <w:iCs/>
        </w:rPr>
        <w:t xml:space="preserve">Observation 1. </w:t>
      </w:r>
      <w:r w:rsidRPr="00CC479B">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CC479B">
        <w:rPr>
          <w:rFonts w:cs="Arial"/>
          <w:i/>
          <w:iCs/>
        </w:rPr>
        <w:t>gNB</w:t>
      </w:r>
      <w:proofErr w:type="spellEnd"/>
      <w:r w:rsidRPr="00CC479B">
        <w:rPr>
          <w:rFonts w:cs="Arial"/>
          <w:i/>
          <w:iCs/>
        </w:rPr>
        <w:t xml:space="preserve">. </w:t>
      </w:r>
    </w:p>
    <w:p w14:paraId="7770355B" w14:textId="77777777" w:rsidR="00CC479B" w:rsidRPr="00CC479B" w:rsidRDefault="00CC479B" w:rsidP="00CC479B">
      <w:pPr>
        <w:rPr>
          <w:rFonts w:cs="Arial"/>
          <w:i/>
          <w:iCs/>
        </w:rPr>
      </w:pPr>
      <w:r w:rsidRPr="00CC479B">
        <w:rPr>
          <w:rFonts w:cs="Arial"/>
          <w:b/>
          <w:bCs/>
          <w:i/>
          <w:iCs/>
        </w:rPr>
        <w:t xml:space="preserve">Proposal 2.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26BBD161" w14:textId="77777777" w:rsidR="00CC479B" w:rsidRPr="00CC479B" w:rsidRDefault="00CC479B" w:rsidP="00CC479B">
      <w:pPr>
        <w:pStyle w:val="BodyText"/>
        <w:spacing w:line="240" w:lineRule="auto"/>
        <w:jc w:val="both"/>
        <w:rPr>
          <w:rFonts w:cs="Arial"/>
          <w:b/>
          <w:bCs/>
          <w:sz w:val="20"/>
          <w:szCs w:val="20"/>
        </w:rPr>
      </w:pPr>
    </w:p>
    <w:p w14:paraId="0E5C50AE" w14:textId="77777777" w:rsidR="00CC479B" w:rsidRPr="00CC479B" w:rsidRDefault="00CC479B" w:rsidP="00CC479B">
      <w:pPr>
        <w:pStyle w:val="Heading4"/>
      </w:pPr>
      <w:r w:rsidRPr="00CC479B">
        <w:t xml:space="preserve">L1-based CLI and delta-CLI measurement in UE-to-UE CLI mitigation </w:t>
      </w:r>
    </w:p>
    <w:p w14:paraId="068FDFE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RAN1#110bis-e, it was agreed to study L1/L2 based UE-to-UE co-channel CLI measurement and reporting aspects. In NR Rel-17, the UE-to-UE CLI measurements and reporting are based on long-term measurements and layer 3 filtering. We believe short-term and/or aperiodic UE-to-UE L1-CLI-RSSI measurements could enhance the CLI mitigation performance by providing accurate CLI measurement and requiring less overhead for reporting.</w:t>
      </w:r>
    </w:p>
    <w:p w14:paraId="588D7FB3"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L1-CLI-RSSI measurement could be configured based on sets of muted, unscheduled, and/or unused REs in DL resources. As such, the resources could be UE-specific or configured commonly for a set of UEs (e.g., UEs in proximity) based on a group-RNTI, zone-ID, etc. Moreover, the L1-CLI-RSSI measurement and reporting could be configured as a CSI reporting quantity and as part of CSI reporting settings.</w:t>
      </w:r>
    </w:p>
    <w:p w14:paraId="4768ED9D" w14:textId="77777777" w:rsidR="00CC479B" w:rsidRPr="00CC479B" w:rsidRDefault="00CC479B" w:rsidP="00CC479B">
      <w:pPr>
        <w:rPr>
          <w:rFonts w:cs="Arial"/>
          <w:i/>
          <w:iCs/>
        </w:rPr>
      </w:pPr>
      <w:r w:rsidRPr="00CC479B">
        <w:rPr>
          <w:rFonts w:cs="Arial"/>
          <w:b/>
          <w:bCs/>
          <w:i/>
          <w:iCs/>
        </w:rPr>
        <w:t xml:space="preserve">Observation 2. </w:t>
      </w:r>
      <w:r w:rsidRPr="00CC479B">
        <w:rPr>
          <w:rFonts w:cs="Arial"/>
          <w:i/>
          <w:iCs/>
        </w:rPr>
        <w:t>Layer 1 UE-to-UE CLI measurement and reporting could be used for performance enhancement by improving interference measurement accuracy and reducing the reporting overhead, respectively.</w:t>
      </w:r>
    </w:p>
    <w:p w14:paraId="1F7075F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general, the CLI-RSSI and most of the other CSI channel and interference measurement parameters are based on some sort of averaging over time or frequency resources. Though this may be enough to achieve a good understanding of the channel or interference conditions, it may result in some serious channel or interference conditions to fade away and not be detected in the process of averaging. For example, for a victim UE with severe band-edge CLI and low middle band CLI, the averaging the CLI-RSSI may result in the spike in the band-edge CLI to fade away and not be seen. This may ultimately result in unwanted high </w:t>
      </w:r>
      <w:proofErr w:type="spellStart"/>
      <w:r w:rsidRPr="00CC479B">
        <w:rPr>
          <w:rFonts w:cs="Arial"/>
          <w:sz w:val="20"/>
          <w:szCs w:val="20"/>
        </w:rPr>
        <w:t>Hyp</w:t>
      </w:r>
      <w:proofErr w:type="spellEnd"/>
      <w:r w:rsidRPr="00CC479B">
        <w:rPr>
          <w:rFonts w:cs="Arial"/>
          <w:sz w:val="20"/>
          <w:szCs w:val="20"/>
        </w:rPr>
        <w:t xml:space="preserve">. BLER and packet loss, causing the use of low MCS for example. However, if the </w:t>
      </w:r>
      <w:proofErr w:type="spellStart"/>
      <w:r w:rsidRPr="00CC479B">
        <w:rPr>
          <w:rFonts w:cs="Arial"/>
          <w:sz w:val="20"/>
          <w:szCs w:val="20"/>
        </w:rPr>
        <w:t>gNB</w:t>
      </w:r>
      <w:proofErr w:type="spellEnd"/>
      <w:r w:rsidRPr="00CC479B">
        <w:rPr>
          <w:rFonts w:cs="Arial"/>
          <w:sz w:val="20"/>
          <w:szCs w:val="20"/>
        </w:rPr>
        <w:t xml:space="preserve"> or UE knew that the CLI is only existing in the band edge and not really in the middle band, they could use lower MCS for the transport blocks (TBs) closer to the band-edge and higher MCS for the TBs in the middle-band.</w:t>
      </w:r>
    </w:p>
    <w:p w14:paraId="386ADEC6" w14:textId="77777777" w:rsidR="00CC479B" w:rsidRPr="00CC479B" w:rsidRDefault="00CC479B" w:rsidP="00CC479B">
      <w:pPr>
        <w:pStyle w:val="BodyText"/>
        <w:spacing w:line="240" w:lineRule="auto"/>
        <w:jc w:val="both"/>
        <w:rPr>
          <w:rFonts w:cs="Arial"/>
          <w:sz w:val="20"/>
          <w:szCs w:val="20"/>
        </w:rPr>
      </w:pPr>
      <w:proofErr w:type="gramStart"/>
      <w:r w:rsidRPr="00CC479B">
        <w:rPr>
          <w:rFonts w:cs="Arial"/>
          <w:sz w:val="20"/>
          <w:szCs w:val="20"/>
        </w:rPr>
        <w:t>In order to</w:t>
      </w:r>
      <w:proofErr w:type="gramEnd"/>
      <w:r w:rsidRPr="00CC479B">
        <w:rPr>
          <w:rFonts w:cs="Arial"/>
          <w:sz w:val="20"/>
          <w:szCs w:val="20"/>
        </w:rPr>
        <w:t xml:space="preserve"> achieve a better estimation or measurement of the band-edge CLI, a parameter could be used that is based on the difference between the measurements, for example, </w:t>
      </w:r>
      <w:r w:rsidRPr="00CC479B">
        <w:rPr>
          <w:rFonts w:cs="Arial"/>
          <w:i/>
          <w:iCs/>
          <w:sz w:val="20"/>
          <w:szCs w:val="20"/>
        </w:rPr>
        <w:t>delta CLI-RSSI</w:t>
      </w:r>
      <w:r w:rsidRPr="00CC479B">
        <w:rPr>
          <w:rFonts w:cs="Arial"/>
          <w:sz w:val="20"/>
          <w:szCs w:val="20"/>
        </w:rPr>
        <w:t xml:space="preserve">. As such, the UE is configured to measure CLI in one or more TBs at the band-edge of the active BWP and compare it with the measured CLI in the TBs in the middle-bands of the active BWP. For example, the UE could compute the difference between the CLI measured at the band-edge and the middle band and if the difference is higher that a threshold, the UE could report it to the </w:t>
      </w:r>
      <w:proofErr w:type="spellStart"/>
      <w:r w:rsidRPr="00CC479B">
        <w:rPr>
          <w:rFonts w:cs="Arial"/>
          <w:sz w:val="20"/>
          <w:szCs w:val="20"/>
        </w:rPr>
        <w:t>gNB</w:t>
      </w:r>
      <w:proofErr w:type="spellEnd"/>
      <w:r w:rsidRPr="00CC479B">
        <w:rPr>
          <w:rFonts w:cs="Arial"/>
          <w:sz w:val="20"/>
          <w:szCs w:val="20"/>
        </w:rPr>
        <w:t xml:space="preserve"> in a flag indication.</w:t>
      </w:r>
    </w:p>
    <w:p w14:paraId="76F11B6E" w14:textId="77777777" w:rsidR="00CC479B" w:rsidRPr="00CC479B" w:rsidRDefault="00CC479B" w:rsidP="00CC479B">
      <w:pPr>
        <w:rPr>
          <w:rFonts w:cs="Arial"/>
          <w:i/>
          <w:iCs/>
        </w:rPr>
      </w:pPr>
      <w:r w:rsidRPr="00CC479B">
        <w:rPr>
          <w:rFonts w:cs="Arial"/>
          <w:b/>
          <w:bCs/>
          <w:i/>
          <w:iCs/>
        </w:rPr>
        <w:t xml:space="preserve">Observation 3.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1AB6526F" w14:textId="77777777" w:rsidR="00CC479B" w:rsidRPr="00CC479B" w:rsidRDefault="00CC479B" w:rsidP="00CC479B">
      <w:pPr>
        <w:rPr>
          <w:rFonts w:cs="Arial"/>
          <w:i/>
          <w:iCs/>
        </w:rPr>
      </w:pPr>
      <w:r w:rsidRPr="00CC479B">
        <w:rPr>
          <w:rFonts w:cs="Arial"/>
          <w:b/>
          <w:bCs/>
          <w:i/>
          <w:iCs/>
        </w:rPr>
        <w:t xml:space="preserve">Proposal 3. </w:t>
      </w:r>
      <w:r w:rsidRPr="00CC479B">
        <w:rPr>
          <w:rFonts w:cs="Arial"/>
          <w:i/>
          <w:iCs/>
        </w:rPr>
        <w:t xml:space="preserve">Consider supporting Layer-1 UE-to-UE L1-CLI-RSSI along with delta-CLI-RSSI measurement and reporting. </w:t>
      </w:r>
    </w:p>
    <w:p w14:paraId="5F852F62" w14:textId="77777777" w:rsidR="00CC479B" w:rsidRPr="00CC479B" w:rsidRDefault="00CC479B" w:rsidP="00CC479B">
      <w:pPr>
        <w:rPr>
          <w:rFonts w:cs="Arial"/>
          <w:i/>
          <w:iCs/>
        </w:rPr>
      </w:pPr>
    </w:p>
    <w:p w14:paraId="1377B23F" w14:textId="77777777" w:rsidR="00CC479B" w:rsidRPr="00CC479B" w:rsidRDefault="00CC479B" w:rsidP="00CC479B">
      <w:pPr>
        <w:pStyle w:val="Heading4"/>
      </w:pPr>
      <w:r w:rsidRPr="00CC479B">
        <w:lastRenderedPageBreak/>
        <w:t>SRS-RSRP enhanced CLI measurement in UE-to-UE CLI mitigation</w:t>
      </w:r>
    </w:p>
    <w:p w14:paraId="71FDE716"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that was selected as the best beam direction between a victim UE and </w:t>
      </w:r>
      <w:proofErr w:type="spellStart"/>
      <w:r w:rsidRPr="00CC479B">
        <w:rPr>
          <w:rFonts w:cs="Arial"/>
          <w:sz w:val="20"/>
          <w:szCs w:val="20"/>
        </w:rPr>
        <w:t>gNB</w:t>
      </w:r>
      <w:proofErr w:type="spellEnd"/>
      <w:r w:rsidRPr="00CC479B">
        <w:rPr>
          <w:rFonts w:cs="Arial"/>
          <w:sz w:val="20"/>
          <w:szCs w:val="20"/>
        </w:rPr>
        <w:t xml:space="preserve"> may not be the best beam in case when a directional CLI is received at the victim UE from the aggressor UE, shown in Figure 1.</w:t>
      </w:r>
    </w:p>
    <w:p w14:paraId="34972CC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management approach can be used between a victim UE receiving in DL and an aggressor UE transmitting in UL. The victim UE can measure the potential CLI power/strength based on a beam swept SRS signals from the aggressor UE. Note that more than one UE can measure the beam swept SRS from an aggressor UE at the same time/frequency resources. </w:t>
      </w:r>
    </w:p>
    <w:p w14:paraId="269DBCD0"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contrast to UE-</w:t>
      </w:r>
      <w:proofErr w:type="spellStart"/>
      <w:r w:rsidRPr="00CC479B">
        <w:rPr>
          <w:rFonts w:cs="Arial"/>
          <w:sz w:val="20"/>
          <w:szCs w:val="20"/>
        </w:rPr>
        <w:t>gNB</w:t>
      </w:r>
      <w:proofErr w:type="spellEnd"/>
      <w:r w:rsidRPr="00CC479B">
        <w:rPr>
          <w:rFonts w:cs="Arial"/>
          <w:sz w:val="20"/>
          <w:szCs w:val="20"/>
        </w:rPr>
        <w:t xml:space="preserve"> beam selection that is based on highest RSRP or SINR, the beam selection between the victim UE-aggressor UE can be based on the lowest measured SRS-RSRP or CLI-RSSI. The victim UE can report to </w:t>
      </w:r>
      <w:proofErr w:type="spellStart"/>
      <w:r w:rsidRPr="00CC479B">
        <w:rPr>
          <w:rFonts w:cs="Arial"/>
          <w:sz w:val="20"/>
          <w:szCs w:val="20"/>
        </w:rPr>
        <w:t>gNB</w:t>
      </w:r>
      <w:proofErr w:type="spellEnd"/>
      <w:r w:rsidRPr="00CC479B">
        <w:rPr>
          <w:rFonts w:cs="Arial"/>
          <w:sz w:val="20"/>
          <w:szCs w:val="20"/>
        </w:rPr>
        <w:t xml:space="preserve"> the preferred beam direction information for which the UE measured CLI from aggressor UE with the lowest power/strength. </w:t>
      </w:r>
    </w:p>
    <w:p w14:paraId="0C614E5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w:t>
      </w:r>
      <w:proofErr w:type="spellStart"/>
      <w:r w:rsidRPr="00CC479B">
        <w:rPr>
          <w:rFonts w:cs="Arial"/>
          <w:sz w:val="20"/>
          <w:szCs w:val="20"/>
        </w:rPr>
        <w:t>gNB</w:t>
      </w:r>
      <w:proofErr w:type="spellEnd"/>
      <w:r w:rsidRPr="00CC479B">
        <w:rPr>
          <w:rFonts w:cs="Arial"/>
          <w:sz w:val="20"/>
          <w:szCs w:val="20"/>
        </w:rPr>
        <w:t xml:space="preserve"> may dynamically inform the victim UE of CLI measurement configurations in case a potential aggressor UE is scheduled for UL, which can be known between </w:t>
      </w:r>
      <w:proofErr w:type="spellStart"/>
      <w:r w:rsidRPr="00CC479B">
        <w:rPr>
          <w:rFonts w:cs="Arial"/>
          <w:sz w:val="20"/>
          <w:szCs w:val="20"/>
        </w:rPr>
        <w:t>gNBs</w:t>
      </w:r>
      <w:proofErr w:type="spellEnd"/>
      <w:r w:rsidRPr="00CC479B">
        <w:rPr>
          <w:rFonts w:cs="Arial"/>
          <w:sz w:val="20"/>
          <w:szCs w:val="20"/>
        </w:rPr>
        <w:t xml:space="preserve">/TRPs if a near-ideal backhaul condition is assumed in the network. The victim UE may then dynamically select the best preferred beam based on the measurements. </w:t>
      </w:r>
    </w:p>
    <w:p w14:paraId="0C06D36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Alternatively, the victim UE can report to </w:t>
      </w:r>
      <w:proofErr w:type="spellStart"/>
      <w:r w:rsidRPr="00CC479B">
        <w:rPr>
          <w:rFonts w:cs="Arial"/>
          <w:sz w:val="20"/>
          <w:szCs w:val="20"/>
        </w:rPr>
        <w:t>gNB</w:t>
      </w:r>
      <w:proofErr w:type="spellEnd"/>
      <w:r w:rsidRPr="00CC479B">
        <w:rPr>
          <w:rFonts w:cs="Arial"/>
          <w:sz w:val="20"/>
          <w:szCs w:val="20"/>
        </w:rPr>
        <w:t xml:space="preserve"> the non-preferred TCI-state/beam direction for which the UE measured CLI from aggressor UE with the highest power/strength. As such, corresponding </w:t>
      </w:r>
      <w:proofErr w:type="spellStart"/>
      <w:r w:rsidRPr="00CC479B">
        <w:rPr>
          <w:rFonts w:cs="Arial"/>
          <w:sz w:val="20"/>
          <w:szCs w:val="20"/>
        </w:rPr>
        <w:t>gNB</w:t>
      </w:r>
      <w:proofErr w:type="spellEnd"/>
      <w:r w:rsidRPr="00CC479B">
        <w:rPr>
          <w:rFonts w:cs="Arial"/>
          <w:sz w:val="20"/>
          <w:szCs w:val="20"/>
        </w:rPr>
        <w:t xml:space="preserve"> can prevent the aggressor UE to use the TCI-state that causes strong CLI on the victim UE, accordingly.</w:t>
      </w:r>
    </w:p>
    <w:p w14:paraId="7CE88C39" w14:textId="77777777" w:rsidR="00CC479B" w:rsidRPr="00CC479B" w:rsidRDefault="00CC479B" w:rsidP="00CC479B">
      <w:pPr>
        <w:rPr>
          <w:rFonts w:cs="Arial"/>
          <w:i/>
          <w:iCs/>
        </w:rPr>
      </w:pPr>
      <w:r w:rsidRPr="00CC479B">
        <w:rPr>
          <w:rFonts w:cs="Arial"/>
          <w:b/>
          <w:bCs/>
          <w:i/>
          <w:iCs/>
        </w:rPr>
        <w:t xml:space="preserve">Observation 4. </w:t>
      </w:r>
      <w:r w:rsidRPr="00CC479B">
        <w:rPr>
          <w:rFonts w:cs="Arial"/>
          <w:i/>
          <w:iCs/>
        </w:rPr>
        <w:t xml:space="preserve">Joint beam management between victim UE and </w:t>
      </w:r>
      <w:proofErr w:type="spellStart"/>
      <w:r w:rsidRPr="00CC479B">
        <w:rPr>
          <w:rFonts w:cs="Arial"/>
          <w:i/>
          <w:iCs/>
        </w:rPr>
        <w:t>gNB</w:t>
      </w:r>
      <w:proofErr w:type="spellEnd"/>
      <w:r w:rsidRPr="00CC479B">
        <w:rPr>
          <w:rFonts w:cs="Arial"/>
          <w:i/>
          <w:iCs/>
        </w:rPr>
        <w:t xml:space="preserve">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0058724D" w14:textId="77777777" w:rsidR="00CC479B" w:rsidRPr="00CC479B" w:rsidRDefault="00CC479B" w:rsidP="00CC479B">
      <w:pPr>
        <w:rPr>
          <w:rFonts w:cs="Arial"/>
          <w:i/>
          <w:iCs/>
        </w:rPr>
      </w:pPr>
      <w:r w:rsidRPr="00CC479B">
        <w:rPr>
          <w:rFonts w:cs="Arial"/>
          <w:b/>
          <w:bCs/>
          <w:i/>
          <w:iCs/>
        </w:rPr>
        <w:t xml:space="preserve">Proposal 4. </w:t>
      </w:r>
      <w:r w:rsidRPr="00CC479B">
        <w:rPr>
          <w:rFonts w:cs="Arial"/>
          <w:i/>
          <w:iCs/>
        </w:rPr>
        <w:t xml:space="preserve">Consider enhancements in joint beam management for enhanced CLI measurement between </w:t>
      </w:r>
      <w:proofErr w:type="spellStart"/>
      <w:r w:rsidRPr="00CC479B">
        <w:rPr>
          <w:rFonts w:cs="Arial"/>
          <w:i/>
          <w:iCs/>
        </w:rPr>
        <w:t>gNB</w:t>
      </w:r>
      <w:proofErr w:type="spellEnd"/>
      <w:r w:rsidRPr="00CC479B">
        <w:rPr>
          <w:rFonts w:cs="Arial"/>
          <w:i/>
          <w:iCs/>
        </w:rPr>
        <w:t xml:space="preserve">, victim UE, and aggressor UE for optimal beam selection or beam avoidance at the victim UE or aggressor UE, respectively. </w:t>
      </w:r>
    </w:p>
    <w:p w14:paraId="5C25B6BB"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2DE01E12" w14:textId="77777777" w:rsidR="00CC479B" w:rsidRPr="00CC479B" w:rsidRDefault="00CC479B" w:rsidP="00CC479B">
      <w:pPr>
        <w:jc w:val="center"/>
        <w:rPr>
          <w:rFonts w:cs="Arial"/>
        </w:rPr>
      </w:pPr>
      <w:r w:rsidRPr="00CC479B">
        <w:rPr>
          <w:rFonts w:cs="Arial"/>
          <w:noProof/>
        </w:rPr>
        <w:drawing>
          <wp:inline distT="0" distB="0" distL="0" distR="0" wp14:anchorId="792B8F0E" wp14:editId="171C0852">
            <wp:extent cx="3036071" cy="241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0"/>
                    <a:stretch>
                      <a:fillRect/>
                    </a:stretch>
                  </pic:blipFill>
                  <pic:spPr>
                    <a:xfrm>
                      <a:off x="0" y="0"/>
                      <a:ext cx="3036071" cy="2414225"/>
                    </a:xfrm>
                    <a:prstGeom prst="rect">
                      <a:avLst/>
                    </a:prstGeom>
                  </pic:spPr>
                </pic:pic>
              </a:graphicData>
            </a:graphic>
          </wp:inline>
        </w:drawing>
      </w:r>
    </w:p>
    <w:p w14:paraId="09EE5D40" w14:textId="77777777" w:rsidR="00CC479B" w:rsidRPr="00CC479B" w:rsidRDefault="00CC479B" w:rsidP="00CC479B">
      <w:pPr>
        <w:jc w:val="center"/>
        <w:rPr>
          <w:rFonts w:cs="Arial"/>
        </w:rPr>
      </w:pPr>
      <w:r w:rsidRPr="00CC479B">
        <w:rPr>
          <w:rFonts w:cs="Arial"/>
        </w:rPr>
        <w:t>Figure 1. Directional CLI from aggressor UE in UL received at the victim UE in DL</w:t>
      </w:r>
    </w:p>
    <w:p w14:paraId="187C2962" w14:textId="77777777" w:rsidR="00CC479B" w:rsidRPr="00CC479B" w:rsidRDefault="00CC479B" w:rsidP="00CC479B">
      <w:pPr>
        <w:jc w:val="center"/>
        <w:rPr>
          <w:rFonts w:cs="Arial"/>
        </w:rPr>
      </w:pPr>
    </w:p>
    <w:p w14:paraId="6E4C52DD" w14:textId="77777777" w:rsidR="00CC479B" w:rsidRPr="00CC479B" w:rsidRDefault="00CC479B" w:rsidP="00CC479B">
      <w:pPr>
        <w:pStyle w:val="Heading3"/>
      </w:pPr>
      <w:r w:rsidRPr="00CC479B">
        <w:t>Spatial domain coordination in UE-to-UE CLI mitigation</w:t>
      </w:r>
    </w:p>
    <w:p w14:paraId="0113E652" w14:textId="77777777" w:rsidR="00CC479B" w:rsidRPr="00CC479B" w:rsidRDefault="00CC479B" w:rsidP="00CC479B">
      <w:pPr>
        <w:pStyle w:val="Heading4"/>
      </w:pPr>
      <w:r w:rsidRPr="00CC479B">
        <w:t>Beam sweeping techniques in spatial domain coordination</w:t>
      </w:r>
    </w:p>
    <w:p w14:paraId="737778F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RAN1#110bis-e, UE-to-UE co-channel CLI handling based on spatial domain coordination methods were discussed. In NR systems, joint beam management has proven to be an effective procedure for finding the best beam pairs between the UE and </w:t>
      </w:r>
      <w:proofErr w:type="spellStart"/>
      <w:r w:rsidRPr="00CC479B">
        <w:rPr>
          <w:rFonts w:cs="Arial"/>
          <w:sz w:val="20"/>
          <w:szCs w:val="20"/>
        </w:rPr>
        <w:t>gNB</w:t>
      </w:r>
      <w:proofErr w:type="spellEnd"/>
      <w:r w:rsidRPr="00CC479B">
        <w:rPr>
          <w:rFonts w:cs="Arial"/>
          <w:sz w:val="20"/>
          <w:szCs w:val="20"/>
        </w:rPr>
        <w:t xml:space="preserve">. In NR TDD with dynamic TDD configurations, a potential victim UE could receive the cross-link interference from multiple aggressive UEs, where the CLI can be seen as a directional interference. In other words, the cross-link interference can be seen as undesirable signals received from an aggressor UE with configured TCI-state with a respective transmission spatial filter. </w:t>
      </w:r>
    </w:p>
    <w:p w14:paraId="496920EE"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lastRenderedPageBreak/>
        <w:t xml:space="preserve">The directional nature of the CLI could result in a beam that was selected as the best beam direction between a victim UE and a </w:t>
      </w:r>
      <w:proofErr w:type="spellStart"/>
      <w:r w:rsidRPr="00CC479B">
        <w:rPr>
          <w:rFonts w:cs="Arial"/>
          <w:sz w:val="20"/>
          <w:szCs w:val="20"/>
        </w:rPr>
        <w:t>gNB</w:t>
      </w:r>
      <w:proofErr w:type="spellEnd"/>
      <w:r w:rsidRPr="00CC479B">
        <w:rPr>
          <w:rFonts w:cs="Arial"/>
          <w:sz w:val="20"/>
          <w:szCs w:val="20"/>
        </w:rPr>
        <w:t xml:space="preserve"> to no longer be the reliable beam, see Figure 1. In such scenarios, there are two main aspects to be considered. </w:t>
      </w:r>
    </w:p>
    <w:p w14:paraId="6121377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w:t>
      </w:r>
      <w:proofErr w:type="spellStart"/>
      <w:r w:rsidRPr="00CC479B">
        <w:rPr>
          <w:rFonts w:cs="Arial"/>
          <w:sz w:val="20"/>
          <w:szCs w:val="20"/>
        </w:rPr>
        <w:t>gNB</w:t>
      </w:r>
      <w:proofErr w:type="spellEnd"/>
      <w:r w:rsidRPr="00CC479B">
        <w:rPr>
          <w:rFonts w:cs="Arial"/>
          <w:sz w:val="20"/>
          <w:szCs w:val="20"/>
        </w:rPr>
        <w:t xml:space="preserve"> could prevent the CLI between the victim and aggressor UEs by coordination methods. Moreover, the </w:t>
      </w:r>
      <w:proofErr w:type="spellStart"/>
      <w:r w:rsidRPr="00CC479B">
        <w:rPr>
          <w:rFonts w:cs="Arial"/>
          <w:sz w:val="20"/>
          <w:szCs w:val="20"/>
        </w:rPr>
        <w:t>gNB</w:t>
      </w:r>
      <w:proofErr w:type="spellEnd"/>
      <w:r w:rsidRPr="00CC479B">
        <w:rPr>
          <w:rFonts w:cs="Arial"/>
          <w:sz w:val="20"/>
          <w:szCs w:val="20"/>
        </w:rPr>
        <w:t xml:space="preserve"> could only avoid the beams at the aggressor UEs that are </w:t>
      </w:r>
      <w:proofErr w:type="gramStart"/>
      <w:r w:rsidRPr="00CC479B">
        <w:rPr>
          <w:rFonts w:cs="Arial"/>
          <w:sz w:val="20"/>
          <w:szCs w:val="20"/>
        </w:rPr>
        <w:t>actually causing</w:t>
      </w:r>
      <w:proofErr w:type="gramEnd"/>
      <w:r w:rsidRPr="00CC479B">
        <w:rPr>
          <w:rFonts w:cs="Arial"/>
          <w:sz w:val="20"/>
          <w:szCs w:val="20"/>
        </w:rPr>
        <w:t xml:space="preserve"> the CLI for the victim UE. In other words, if a potential aggressor UE is not </w:t>
      </w:r>
      <w:proofErr w:type="spellStart"/>
      <w:r w:rsidRPr="00CC479B">
        <w:rPr>
          <w:rFonts w:cs="Arial"/>
          <w:sz w:val="20"/>
          <w:szCs w:val="20"/>
        </w:rPr>
        <w:t>actutally</w:t>
      </w:r>
      <w:proofErr w:type="spellEnd"/>
      <w:r w:rsidRPr="00CC479B">
        <w:rPr>
          <w:rFonts w:cs="Arial"/>
          <w:sz w:val="20"/>
          <w:szCs w:val="20"/>
        </w:rPr>
        <w:t xml:space="preserve"> causing CLI to a victim UE, the </w:t>
      </w:r>
      <w:proofErr w:type="spellStart"/>
      <w:r w:rsidRPr="00CC479B">
        <w:rPr>
          <w:rFonts w:cs="Arial"/>
          <w:sz w:val="20"/>
          <w:szCs w:val="20"/>
        </w:rPr>
        <w:t>gNB</w:t>
      </w:r>
      <w:proofErr w:type="spellEnd"/>
      <w:r w:rsidRPr="00CC479B">
        <w:rPr>
          <w:rFonts w:cs="Arial"/>
          <w:sz w:val="20"/>
          <w:szCs w:val="20"/>
        </w:rPr>
        <w:t xml:space="preserve"> could know that based on the report received from the victim UE, and the </w:t>
      </w:r>
      <w:proofErr w:type="spellStart"/>
      <w:r w:rsidRPr="00CC479B">
        <w:rPr>
          <w:rFonts w:cs="Arial"/>
          <w:sz w:val="20"/>
          <w:szCs w:val="20"/>
        </w:rPr>
        <w:t>gNB</w:t>
      </w:r>
      <w:proofErr w:type="spellEnd"/>
      <w:r w:rsidRPr="00CC479B">
        <w:rPr>
          <w:rFonts w:cs="Arial"/>
          <w:sz w:val="20"/>
          <w:szCs w:val="20"/>
        </w:rPr>
        <w:t xml:space="preserve"> could allow the non-interfering potential aggressor UE to continue its operation. Similarly, for an actual aggressor UE that is causing CLI to the victim UE, the </w:t>
      </w:r>
      <w:proofErr w:type="spellStart"/>
      <w:r w:rsidRPr="00CC479B">
        <w:rPr>
          <w:rFonts w:cs="Arial"/>
          <w:sz w:val="20"/>
          <w:szCs w:val="20"/>
        </w:rPr>
        <w:t>gNB</w:t>
      </w:r>
      <w:proofErr w:type="spellEnd"/>
      <w:r w:rsidRPr="00CC479B">
        <w:rPr>
          <w:rFonts w:cs="Arial"/>
          <w:sz w:val="20"/>
          <w:szCs w:val="20"/>
        </w:rPr>
        <w:t xml:space="preserve"> could still schedule the aggressor UE but just avoiding the beam directions that are causing the CLI to the victim UE. This could result in more enhanced and flexible scheduling and resources management at the </w:t>
      </w:r>
      <w:proofErr w:type="spellStart"/>
      <w:r w:rsidRPr="00CC479B">
        <w:rPr>
          <w:rFonts w:cs="Arial"/>
          <w:sz w:val="20"/>
          <w:szCs w:val="20"/>
        </w:rPr>
        <w:t>gNB</w:t>
      </w:r>
      <w:proofErr w:type="spellEnd"/>
      <w:r w:rsidRPr="00CC479B">
        <w:rPr>
          <w:rFonts w:cs="Arial"/>
          <w:sz w:val="20"/>
          <w:szCs w:val="20"/>
        </w:rPr>
        <w:t>-side despite the CLI.</w:t>
      </w:r>
    </w:p>
    <w:p w14:paraId="525A4E89"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Another aspect is to enable the victim UE to measure, detect, and report the optimal beam direction for the UE-to-</w:t>
      </w:r>
      <w:proofErr w:type="spellStart"/>
      <w:r w:rsidRPr="00CC479B">
        <w:rPr>
          <w:rFonts w:cs="Arial"/>
          <w:sz w:val="20"/>
          <w:szCs w:val="20"/>
        </w:rPr>
        <w:t>gNB</w:t>
      </w:r>
      <w:proofErr w:type="spellEnd"/>
      <w:r w:rsidRPr="00CC479B">
        <w:rPr>
          <w:rFonts w:cs="Arial"/>
          <w:sz w:val="20"/>
          <w:szCs w:val="20"/>
        </w:rPr>
        <w:t xml:space="preserve"> communication, based on the direction of the aggressor UE. 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w:t>
      </w:r>
      <w:proofErr w:type="spellStart"/>
      <w:r w:rsidRPr="00CC479B">
        <w:rPr>
          <w:rFonts w:cs="Arial"/>
          <w:sz w:val="20"/>
          <w:szCs w:val="20"/>
        </w:rPr>
        <w:t>gNB</w:t>
      </w:r>
      <w:proofErr w:type="spellEnd"/>
      <w:r w:rsidRPr="00CC479B">
        <w:rPr>
          <w:rFonts w:cs="Arial"/>
          <w:sz w:val="20"/>
          <w:szCs w:val="20"/>
        </w:rPr>
        <w:t xml:space="preserve">. </w:t>
      </w:r>
    </w:p>
    <w:p w14:paraId="6D83CA57"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different aspects can be summarized in below two steps:</w:t>
      </w:r>
    </w:p>
    <w:p w14:paraId="73F64D02" w14:textId="77777777" w:rsidR="00CC479B" w:rsidRPr="00CC479B" w:rsidRDefault="00CC479B" w:rsidP="00CC479B">
      <w:pPr>
        <w:rPr>
          <w:rFonts w:cs="Arial"/>
        </w:rPr>
      </w:pPr>
      <w:r w:rsidRPr="00CC479B">
        <w:rPr>
          <w:rFonts w:cs="Arial"/>
          <w:b/>
          <w:bCs/>
        </w:rPr>
        <w:t>Step 1. Beam sweeping between victim and aggressor UEs:</w:t>
      </w:r>
      <w:r w:rsidRPr="00CC479B">
        <w:rPr>
          <w:rFonts w:cs="Arial"/>
        </w:rPr>
        <w:t xml:space="preserve"> As the first step, the </w:t>
      </w:r>
      <w:proofErr w:type="gramStart"/>
      <w:r w:rsidRPr="00CC479B">
        <w:rPr>
          <w:rFonts w:cs="Arial"/>
        </w:rPr>
        <w:t>victim</w:t>
      </w:r>
      <w:proofErr w:type="gramEnd"/>
      <w:r w:rsidRPr="00CC479B">
        <w:rPr>
          <w:rFonts w:cs="Arial"/>
        </w:rPr>
        <w:t xml:space="preserve"> and the aggressor UEs can perform a beam sweeping procedure to find the best and the worst beam pairs between them. As the result of this step and by reporting the results to the </w:t>
      </w:r>
      <w:proofErr w:type="spellStart"/>
      <w:r w:rsidRPr="00CC479B">
        <w:rPr>
          <w:rFonts w:cs="Arial"/>
        </w:rPr>
        <w:t>gNB</w:t>
      </w:r>
      <w:proofErr w:type="spellEnd"/>
      <w:r w:rsidRPr="00CC479B">
        <w:rPr>
          <w:rFonts w:cs="Arial"/>
        </w:rPr>
        <w:t xml:space="preserve">, the </w:t>
      </w:r>
      <w:proofErr w:type="spellStart"/>
      <w:r w:rsidRPr="00CC479B">
        <w:rPr>
          <w:rFonts w:cs="Arial"/>
        </w:rPr>
        <w:t>gNB</w:t>
      </w:r>
      <w:proofErr w:type="spellEnd"/>
      <w:r w:rsidRPr="00CC479B">
        <w:rPr>
          <w:rFonts w:cs="Arial"/>
        </w:rPr>
        <w:t xml:space="preserve"> can mitigate the CLI by preventing the victim and aggressor UEs to use the worst beam pair.</w:t>
      </w:r>
    </w:p>
    <w:p w14:paraId="4AF54B06" w14:textId="77777777" w:rsidR="00CC479B" w:rsidRPr="00CC479B" w:rsidRDefault="00CC479B" w:rsidP="00CC479B">
      <w:pPr>
        <w:rPr>
          <w:rFonts w:cs="Arial"/>
        </w:rPr>
      </w:pPr>
      <w:r w:rsidRPr="00CC479B">
        <w:rPr>
          <w:rFonts w:cs="Arial"/>
          <w:b/>
          <w:bCs/>
        </w:rPr>
        <w:t xml:space="preserve">Step 2. Beam sweeping/selection between victim UE and the </w:t>
      </w:r>
      <w:proofErr w:type="spellStart"/>
      <w:r w:rsidRPr="00CC479B">
        <w:rPr>
          <w:rFonts w:cs="Arial"/>
          <w:b/>
          <w:bCs/>
        </w:rPr>
        <w:t>gNB</w:t>
      </w:r>
      <w:proofErr w:type="spellEnd"/>
      <w:r w:rsidRPr="00CC479B">
        <w:rPr>
          <w:rFonts w:cs="Arial"/>
          <w:b/>
          <w:bCs/>
        </w:rPr>
        <w:t>.</w:t>
      </w:r>
      <w:r w:rsidRPr="00CC479B">
        <w:rPr>
          <w:rFonts w:cs="Arial"/>
        </w:rPr>
        <w:t xml:space="preserve"> As the second step, the victim UE can perform a beam sweeping procedure along with the beam pairing in step 1, that is the beam sweeping with the </w:t>
      </w:r>
      <w:proofErr w:type="spellStart"/>
      <w:r w:rsidRPr="00CC479B">
        <w:rPr>
          <w:rFonts w:cs="Arial"/>
        </w:rPr>
        <w:t>gNB</w:t>
      </w:r>
      <w:proofErr w:type="spellEnd"/>
      <w:r w:rsidRPr="00CC479B">
        <w:rPr>
          <w:rFonts w:cs="Arial"/>
        </w:rPr>
        <w:t xml:space="preserve"> in the existence of the CLI. As such, the victim UE can find the most and least </w:t>
      </w:r>
      <w:proofErr w:type="spellStart"/>
      <w:r w:rsidRPr="00CC479B">
        <w:rPr>
          <w:rFonts w:cs="Arial"/>
        </w:rPr>
        <w:t>favorable</w:t>
      </w:r>
      <w:proofErr w:type="spellEnd"/>
      <w:r w:rsidRPr="00CC479B">
        <w:rPr>
          <w:rFonts w:cs="Arial"/>
        </w:rPr>
        <w:t xml:space="preserve"> beam directions to communicate with the </w:t>
      </w:r>
      <w:proofErr w:type="spellStart"/>
      <w:r w:rsidRPr="00CC479B">
        <w:rPr>
          <w:rFonts w:cs="Arial"/>
        </w:rPr>
        <w:t>gNB</w:t>
      </w:r>
      <w:proofErr w:type="spellEnd"/>
      <w:r w:rsidRPr="00CC479B">
        <w:rPr>
          <w:rFonts w:cs="Arial"/>
        </w:rPr>
        <w:t xml:space="preserve"> based on the directional CLIs received from the aggressor UE. This may be called an opportunistic beam pairing, as the victim UE finds its best beam to communicate with the </w:t>
      </w:r>
      <w:proofErr w:type="spellStart"/>
      <w:r w:rsidRPr="00CC479B">
        <w:rPr>
          <w:rFonts w:cs="Arial"/>
        </w:rPr>
        <w:t>gNB</w:t>
      </w:r>
      <w:proofErr w:type="spellEnd"/>
      <w:r w:rsidRPr="00CC479B">
        <w:rPr>
          <w:rFonts w:cs="Arial"/>
        </w:rPr>
        <w:t xml:space="preserve"> based on the beams causing CLI from the aggressor UE. As the result of this step, the </w:t>
      </w:r>
      <w:proofErr w:type="spellStart"/>
      <w:r w:rsidRPr="00CC479B">
        <w:rPr>
          <w:rFonts w:cs="Arial"/>
        </w:rPr>
        <w:t>gNB</w:t>
      </w:r>
      <w:proofErr w:type="spellEnd"/>
      <w:r w:rsidRPr="00CC479B">
        <w:rPr>
          <w:rFonts w:cs="Arial"/>
        </w:rPr>
        <w:t xml:space="preserve"> can choose the best beam to communicate with the UE, even in the existence of the directional CLI.</w:t>
      </w:r>
    </w:p>
    <w:p w14:paraId="3F4C046A" w14:textId="77777777" w:rsidR="00CC479B" w:rsidRPr="00CC479B" w:rsidRDefault="00CC479B" w:rsidP="00CC479B">
      <w:pPr>
        <w:rPr>
          <w:rFonts w:cs="Arial"/>
          <w:i/>
          <w:iCs/>
        </w:rPr>
      </w:pPr>
      <w:r w:rsidRPr="00CC479B">
        <w:rPr>
          <w:rFonts w:cs="Arial"/>
          <w:b/>
          <w:bCs/>
          <w:i/>
          <w:iCs/>
        </w:rPr>
        <w:t>Observation 5.</w:t>
      </w:r>
      <w:r w:rsidRPr="00CC479B">
        <w:rPr>
          <w:rFonts w:cs="Arial"/>
          <w:i/>
          <w:iCs/>
        </w:rPr>
        <w:t xml:space="preserve"> In spatial domain coordination, there are two aspects to be considered: </w:t>
      </w:r>
    </w:p>
    <w:p w14:paraId="62522B2D"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Preventive aspects, that is determining the victim and aggressor UEs beam pairs to be avoided</w:t>
      </w:r>
    </w:p>
    <w:p w14:paraId="054F40EE"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 xml:space="preserve">Beam pairing aspects, that is determining the </w:t>
      </w:r>
      <w:proofErr w:type="spellStart"/>
      <w:r w:rsidRPr="00CC479B">
        <w:rPr>
          <w:rFonts w:ascii="Arial" w:hAnsi="Arial" w:cs="Arial"/>
          <w:i/>
          <w:iCs/>
          <w:sz w:val="20"/>
          <w:szCs w:val="20"/>
        </w:rPr>
        <w:t>gNB</w:t>
      </w:r>
      <w:proofErr w:type="spellEnd"/>
      <w:r w:rsidRPr="00CC479B">
        <w:rPr>
          <w:rFonts w:ascii="Arial" w:hAnsi="Arial" w:cs="Arial"/>
          <w:i/>
          <w:iCs/>
          <w:sz w:val="20"/>
          <w:szCs w:val="20"/>
        </w:rPr>
        <w:t xml:space="preserve"> and victim UE beam pairs to be used based on directional CLI from the aggressor UEs. </w:t>
      </w:r>
    </w:p>
    <w:p w14:paraId="4C7AAD4C" w14:textId="77777777" w:rsidR="00CC479B" w:rsidRPr="00CC479B" w:rsidRDefault="00CC479B" w:rsidP="00CC479B">
      <w:pPr>
        <w:rPr>
          <w:rFonts w:cs="Arial"/>
          <w:i/>
          <w:iCs/>
        </w:rPr>
      </w:pPr>
      <w:r w:rsidRPr="00CC479B">
        <w:rPr>
          <w:rFonts w:cs="Arial"/>
          <w:b/>
          <w:bCs/>
          <w:i/>
          <w:iCs/>
        </w:rPr>
        <w:t>Proposal 5.</w:t>
      </w:r>
      <w:r w:rsidRPr="00CC479B">
        <w:rPr>
          <w:rFonts w:cs="Arial"/>
          <w:i/>
          <w:iCs/>
        </w:rPr>
        <w:t xml:space="preserve"> Consider preventive aspects in spatial domain coordination by determining the most and least </w:t>
      </w:r>
      <w:proofErr w:type="spellStart"/>
      <w:r w:rsidRPr="00CC479B">
        <w:rPr>
          <w:rFonts w:cs="Arial"/>
          <w:i/>
          <w:iCs/>
        </w:rPr>
        <w:t>favorable</w:t>
      </w:r>
      <w:proofErr w:type="spellEnd"/>
      <w:r w:rsidRPr="00CC479B">
        <w:rPr>
          <w:rFonts w:cs="Arial"/>
          <w:i/>
          <w:iCs/>
        </w:rPr>
        <w:t xml:space="preserve"> beam pairings between the victim and aggressor UEs.</w:t>
      </w:r>
    </w:p>
    <w:p w14:paraId="1957175A" w14:textId="77777777" w:rsidR="00CC479B" w:rsidRPr="00CC479B" w:rsidRDefault="00CC479B" w:rsidP="00CC479B">
      <w:pPr>
        <w:rPr>
          <w:rFonts w:cs="Arial"/>
          <w:i/>
          <w:iCs/>
        </w:rPr>
      </w:pPr>
      <w:r w:rsidRPr="00CC479B">
        <w:rPr>
          <w:rFonts w:cs="Arial"/>
          <w:b/>
          <w:bCs/>
          <w:i/>
          <w:iCs/>
        </w:rPr>
        <w:t>Proposal 6.</w:t>
      </w:r>
      <w:r w:rsidRPr="00CC479B">
        <w:rPr>
          <w:rFonts w:cs="Arial"/>
          <w:i/>
          <w:iCs/>
        </w:rPr>
        <w:t xml:space="preserve"> Consider CLI mitigation aspects in spatial domain coordination by determining beam pairing between victim UE and </w:t>
      </w:r>
      <w:proofErr w:type="spellStart"/>
      <w:r w:rsidRPr="00CC479B">
        <w:rPr>
          <w:rFonts w:cs="Arial"/>
          <w:i/>
          <w:iCs/>
        </w:rPr>
        <w:t>gNB</w:t>
      </w:r>
      <w:proofErr w:type="spellEnd"/>
      <w:r w:rsidRPr="00CC479B">
        <w:rPr>
          <w:rFonts w:cs="Arial"/>
          <w:i/>
          <w:iCs/>
        </w:rPr>
        <w:t xml:space="preserve"> based on directional CLI.</w:t>
      </w:r>
    </w:p>
    <w:p w14:paraId="3D2789E6" w14:textId="77777777" w:rsidR="00CC479B" w:rsidRPr="00CC479B" w:rsidRDefault="00CC479B" w:rsidP="00CC479B">
      <w:pPr>
        <w:rPr>
          <w:rFonts w:cs="Arial"/>
          <w:i/>
          <w:iCs/>
        </w:rPr>
      </w:pPr>
    </w:p>
    <w:p w14:paraId="30E20ADB" w14:textId="77777777" w:rsidR="00CC479B" w:rsidRPr="00CC479B" w:rsidRDefault="00CC479B" w:rsidP="00CC479B">
      <w:pPr>
        <w:pStyle w:val="Heading4"/>
      </w:pPr>
      <w:r w:rsidRPr="00CC479B">
        <w:t>Monitoring beams in spatial domain coordination</w:t>
      </w:r>
    </w:p>
    <w:p w14:paraId="6AC74647" w14:textId="77777777" w:rsidR="00CC479B" w:rsidRPr="00CC479B" w:rsidRDefault="00CC479B" w:rsidP="00CC479B">
      <w:pPr>
        <w:pStyle w:val="BodyText"/>
        <w:spacing w:line="240" w:lineRule="auto"/>
        <w:jc w:val="both"/>
        <w:rPr>
          <w:rFonts w:cs="Arial"/>
          <w:sz w:val="20"/>
          <w:szCs w:val="20"/>
          <w:lang w:val="en-GB"/>
        </w:rPr>
      </w:pPr>
      <w:r w:rsidRPr="00CC479B">
        <w:rPr>
          <w:rFonts w:cs="Arial"/>
          <w:sz w:val="20"/>
          <w:szCs w:val="20"/>
        </w:rPr>
        <w:t xml:space="preserve">Considering dynamic transmission grants, a potential victim UE that has received a DL grant in a flexible/dynamic TDD framework may experience unforeseen UE-to-UE CLI from another (aggressor) UE with UL transmission. In fact, </w:t>
      </w:r>
      <w:r w:rsidRPr="00CC479B">
        <w:rPr>
          <w:rFonts w:cs="Arial"/>
          <w:sz w:val="20"/>
          <w:szCs w:val="20"/>
          <w:lang w:val="en-GB"/>
        </w:rPr>
        <w:t>the presence of the CLI may not be known prior to the grant, e.g., in case when the aggressor UE is associated with a different serving-cell/TRP. Due to such CLI, the victim UE may fail to receive the DL signal resulting in degraded DL performance.</w:t>
      </w:r>
    </w:p>
    <w:p w14:paraId="79E00002" w14:textId="77777777" w:rsidR="00CC479B" w:rsidRPr="00CC479B" w:rsidRDefault="00CC479B" w:rsidP="00CC479B">
      <w:pPr>
        <w:pStyle w:val="BodyText"/>
        <w:spacing w:line="240" w:lineRule="auto"/>
        <w:jc w:val="both"/>
        <w:rPr>
          <w:rFonts w:cs="Arial"/>
          <w:sz w:val="20"/>
          <w:szCs w:val="20"/>
          <w:lang w:val="en-GB"/>
        </w:rPr>
      </w:pPr>
      <w:proofErr w:type="gramStart"/>
      <w:r w:rsidRPr="00CC479B">
        <w:rPr>
          <w:rFonts w:cs="Arial"/>
          <w:sz w:val="20"/>
          <w:szCs w:val="20"/>
        </w:rPr>
        <w:t>In order to</w:t>
      </w:r>
      <w:proofErr w:type="gramEnd"/>
      <w:r w:rsidRPr="00CC479B">
        <w:rPr>
          <w:rFonts w:cs="Arial"/>
          <w:sz w:val="20"/>
          <w:szCs w:val="20"/>
        </w:rPr>
        <w:t xml:space="preserve"> prevent such unexpected CLI, the victim UE could monitor the beams corresponding to the potential CLI </w:t>
      </w:r>
      <w:r w:rsidRPr="00CC479B">
        <w:rPr>
          <w:rFonts w:cs="Arial"/>
          <w:sz w:val="20"/>
          <w:szCs w:val="20"/>
          <w:lang w:val="en-GB"/>
        </w:rPr>
        <w:t xml:space="preserve">mitigation and management. </w:t>
      </w:r>
    </w:p>
    <w:p w14:paraId="216D546D" w14:textId="77777777"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6. </w:t>
      </w:r>
      <w:r w:rsidRPr="00CC479B">
        <w:rPr>
          <w:rFonts w:cs="Arial"/>
          <w:i/>
          <w:iCs/>
          <w:sz w:val="20"/>
          <w:szCs w:val="20"/>
        </w:rPr>
        <w:t>Techniques based on potential victim UE for monitoring the potential existence of CLI before being granted for DL transmission could be used to enhance spatial domain coordination in UE-to-UE interference mitigation.</w:t>
      </w:r>
    </w:p>
    <w:p w14:paraId="7A4C8B46" w14:textId="43C171AF" w:rsidR="00CC479B" w:rsidRDefault="00CC479B" w:rsidP="00CC479B">
      <w:pPr>
        <w:rPr>
          <w:rFonts w:cs="Arial"/>
          <w:i/>
          <w:iCs/>
        </w:rPr>
      </w:pPr>
      <w:r w:rsidRPr="00CC479B">
        <w:rPr>
          <w:rFonts w:cs="Arial"/>
          <w:b/>
          <w:bCs/>
          <w:i/>
          <w:iCs/>
        </w:rPr>
        <w:lastRenderedPageBreak/>
        <w:t xml:space="preserve">Proposal 7. </w:t>
      </w:r>
      <w:r w:rsidRPr="00CC479B">
        <w:rPr>
          <w:rFonts w:cs="Arial"/>
          <w:i/>
          <w:iCs/>
        </w:rPr>
        <w:t xml:space="preserve">Study a condition-based CLI monitoring </w:t>
      </w:r>
      <w:proofErr w:type="spellStart"/>
      <w:r w:rsidRPr="00CC479B">
        <w:rPr>
          <w:rFonts w:cs="Arial"/>
          <w:i/>
          <w:iCs/>
        </w:rPr>
        <w:t>behavior</w:t>
      </w:r>
      <w:proofErr w:type="spellEnd"/>
      <w:r w:rsidRPr="00CC479B">
        <w:rPr>
          <w:rFonts w:cs="Arial"/>
          <w:i/>
          <w:iCs/>
        </w:rPr>
        <w:t xml:space="preserve"> at the victim UE side, where the condition can at least include a case when the victim UE detects a PDSCH reception failure, which can initiate a CLI measurement/reporting </w:t>
      </w:r>
      <w:proofErr w:type="spellStart"/>
      <w:r w:rsidRPr="00CC479B">
        <w:rPr>
          <w:rFonts w:cs="Arial"/>
          <w:i/>
          <w:iCs/>
        </w:rPr>
        <w:t>behavior</w:t>
      </w:r>
      <w:proofErr w:type="spellEnd"/>
      <w:r w:rsidRPr="00CC479B">
        <w:rPr>
          <w:rFonts w:cs="Arial"/>
          <w:i/>
          <w:iCs/>
        </w:rPr>
        <w:t xml:space="preserve">. </w:t>
      </w:r>
    </w:p>
    <w:p w14:paraId="6F33195E" w14:textId="77777777" w:rsidR="00CC479B" w:rsidRPr="00CC479B" w:rsidRDefault="00CC479B" w:rsidP="00CC479B">
      <w:pPr>
        <w:rPr>
          <w:rFonts w:cs="Arial"/>
          <w:i/>
          <w:iCs/>
        </w:rPr>
      </w:pPr>
    </w:p>
    <w:p w14:paraId="6587E6AD" w14:textId="77777777" w:rsidR="00CC479B" w:rsidRPr="00CC479B" w:rsidRDefault="00CC479B" w:rsidP="00CC479B">
      <w:pPr>
        <w:pStyle w:val="Heading2"/>
      </w:pPr>
      <w:r w:rsidRPr="00CC479B">
        <w:t xml:space="preserve">UE and </w:t>
      </w:r>
      <w:proofErr w:type="spellStart"/>
      <w:r w:rsidRPr="00CC479B">
        <w:t>gNB</w:t>
      </w:r>
      <w:proofErr w:type="spellEnd"/>
      <w:r w:rsidRPr="00CC479B">
        <w:t xml:space="preserve"> transmission and reception timing alignments</w:t>
      </w:r>
    </w:p>
    <w:p w14:paraId="29A96A9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UE-to-UE CLI measurement, the potential victim and aggressor UEs should be time synchronized so that the potential victim UE could measure the CLI accurately over respective resources. Otherwise, the timing misalignment could affect the CLI measurement, resulting in under-estimation or over-estimation of CLI. As such, the potential victim UE should monitor for measurement reference signals and in case the UE detects a misalignment, the UE should report it to NW and request for timing adjustments.</w:t>
      </w:r>
    </w:p>
    <w:p w14:paraId="636A0FD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our contribution [6], discussions on timing alignment issues are found, in consideration of </w:t>
      </w:r>
      <w:proofErr w:type="spellStart"/>
      <w:r w:rsidRPr="00CC479B">
        <w:rPr>
          <w:rFonts w:cs="Arial"/>
          <w:sz w:val="20"/>
          <w:szCs w:val="20"/>
        </w:rPr>
        <w:t>subband</w:t>
      </w:r>
      <w:proofErr w:type="spellEnd"/>
      <w:r w:rsidRPr="00CC479B">
        <w:rPr>
          <w:rFonts w:cs="Arial"/>
          <w:sz w:val="20"/>
          <w:szCs w:val="20"/>
        </w:rPr>
        <w:t xml:space="preserve"> non-overlapping full duplex (SBFD) operations.</w:t>
      </w:r>
    </w:p>
    <w:p w14:paraId="76EEC322" w14:textId="77777777" w:rsidR="00CC479B" w:rsidRPr="00CC479B" w:rsidRDefault="00CC479B" w:rsidP="00CC479B">
      <w:pPr>
        <w:rPr>
          <w:rFonts w:cs="Arial"/>
          <w:i/>
          <w:iCs/>
        </w:rPr>
      </w:pPr>
      <w:r w:rsidRPr="00CC479B">
        <w:rPr>
          <w:rFonts w:cs="Arial"/>
          <w:b/>
          <w:bCs/>
          <w:i/>
          <w:iCs/>
        </w:rPr>
        <w:t xml:space="preserve">Observation 7. </w:t>
      </w:r>
      <w:r w:rsidRPr="00CC479B">
        <w:rPr>
          <w:rFonts w:cs="Arial"/>
          <w:i/>
          <w:iCs/>
        </w:rPr>
        <w:t xml:space="preserve">UE and </w:t>
      </w:r>
      <w:proofErr w:type="spellStart"/>
      <w:r w:rsidRPr="00CC479B">
        <w:rPr>
          <w:rFonts w:cs="Arial"/>
          <w:i/>
          <w:iCs/>
        </w:rPr>
        <w:t>gNB</w:t>
      </w:r>
      <w:proofErr w:type="spellEnd"/>
      <w:r w:rsidRPr="00CC479B">
        <w:rPr>
          <w:rFonts w:cs="Arial"/>
          <w:i/>
          <w:iCs/>
        </w:rPr>
        <w:t xml:space="preserve"> timing alignment could be effective in performance enhancement for UE-to-UE CLI measurement and accuracy.</w:t>
      </w:r>
    </w:p>
    <w:p w14:paraId="40C0DE3F" w14:textId="77777777" w:rsidR="00CC479B" w:rsidRPr="00CC479B" w:rsidRDefault="00CC479B" w:rsidP="00CC479B">
      <w:pPr>
        <w:rPr>
          <w:rFonts w:cs="Arial"/>
          <w:i/>
          <w:iCs/>
        </w:rPr>
      </w:pPr>
      <w:r w:rsidRPr="00CC479B">
        <w:rPr>
          <w:rFonts w:cs="Arial"/>
          <w:b/>
          <w:bCs/>
          <w:i/>
          <w:iCs/>
        </w:rPr>
        <w:t xml:space="preserve">Proposal 8. </w:t>
      </w:r>
      <w:r w:rsidRPr="00CC479B">
        <w:rPr>
          <w:rFonts w:cs="Arial"/>
          <w:i/>
          <w:iCs/>
        </w:rPr>
        <w:t xml:space="preserve">Study timing alignment issues including </w:t>
      </w:r>
      <w:proofErr w:type="spellStart"/>
      <w:r w:rsidRPr="00CC479B">
        <w:rPr>
          <w:rFonts w:cs="Arial"/>
          <w:i/>
          <w:iCs/>
        </w:rPr>
        <w:t>subband</w:t>
      </w:r>
      <w:proofErr w:type="spellEnd"/>
      <w:r w:rsidRPr="00CC479B">
        <w:rPr>
          <w:rFonts w:cs="Arial"/>
          <w:i/>
          <w:iCs/>
        </w:rPr>
        <w:t xml:space="preserve"> non-overlapping full duplex scenarios. </w:t>
      </w:r>
    </w:p>
    <w:p w14:paraId="421AEA22" w14:textId="77777777" w:rsidR="00CC479B" w:rsidRPr="00CC479B" w:rsidRDefault="00CC479B" w:rsidP="00CC479B">
      <w:pPr>
        <w:pStyle w:val="BodyText"/>
        <w:spacing w:line="240" w:lineRule="auto"/>
        <w:jc w:val="both"/>
        <w:rPr>
          <w:rFonts w:cs="Arial"/>
          <w:sz w:val="20"/>
          <w:szCs w:val="20"/>
        </w:rPr>
      </w:pPr>
    </w:p>
    <w:p w14:paraId="1D94ECA0" w14:textId="77777777" w:rsidR="00CC479B" w:rsidRPr="00CC479B" w:rsidRDefault="00CC479B" w:rsidP="00CC479B">
      <w:pPr>
        <w:pStyle w:val="Heading2"/>
      </w:pPr>
      <w:r w:rsidRPr="00CC479B">
        <w:t>Power-control-based solutions</w:t>
      </w:r>
    </w:p>
    <w:p w14:paraId="75467A8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w:t>
      </w:r>
      <w:r w:rsidRPr="00CC479B">
        <w:rPr>
          <w:rFonts w:eastAsia="Times New Roman" w:cs="Arial"/>
          <w:color w:val="000000"/>
          <w:sz w:val="20"/>
          <w:szCs w:val="20"/>
        </w:rPr>
        <w:t>n dynamic/flexible TDD, t</w:t>
      </w:r>
      <w:r w:rsidRPr="00CC479B">
        <w:rPr>
          <w:rFonts w:cs="Arial"/>
          <w:sz w:val="20"/>
          <w:szCs w:val="20"/>
          <w:lang w:val="en-GB"/>
        </w:rPr>
        <w:t xml:space="preserve">he UL transmission from a potential aggressor UE could cause a severe UE-to-UE CLI on a potential victim UE in DL mode of operation. </w:t>
      </w:r>
      <w:r w:rsidRPr="00CC479B">
        <w:rPr>
          <w:rFonts w:cs="Arial"/>
          <w:sz w:val="20"/>
          <w:szCs w:val="20"/>
        </w:rPr>
        <w:t>By considering dynamic power control at the potential aggressor UE, the CLI effect could be mitigated. The determination or configuration of power control solutions could be based on some factors such as a frequency gap between UL and DL (especially for SBFD), beam/spatial-domain parameters, and/or priority indications. For example, we have provided LLS results in our contribution [6] that shows as an example how CLI is affected by the size of the frequency gap or guard RBs.</w:t>
      </w:r>
    </w:p>
    <w:p w14:paraId="2BD7AD64" w14:textId="77777777"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Observation 8.</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0C23A415" w14:textId="77777777" w:rsidR="00CC479B" w:rsidRPr="00CC479B" w:rsidRDefault="00CC479B" w:rsidP="00CC479B">
      <w:pPr>
        <w:pStyle w:val="BodyText"/>
        <w:spacing w:line="240" w:lineRule="auto"/>
        <w:jc w:val="both"/>
        <w:rPr>
          <w:rFonts w:cs="Arial"/>
          <w:sz w:val="20"/>
          <w:szCs w:val="20"/>
          <w:lang w:val="en-GB"/>
        </w:rPr>
      </w:pPr>
      <w:r w:rsidRPr="00CC479B">
        <w:rPr>
          <w:rFonts w:cs="Arial"/>
          <w:sz w:val="20"/>
          <w:szCs w:val="20"/>
        </w:rPr>
        <w:t xml:space="preserve">Alternatively, </w:t>
      </w:r>
      <w:proofErr w:type="spellStart"/>
      <w:r w:rsidRPr="00CC479B">
        <w:rPr>
          <w:rFonts w:cs="Arial"/>
          <w:sz w:val="20"/>
          <w:szCs w:val="20"/>
        </w:rPr>
        <w:t>gNB</w:t>
      </w:r>
      <w:proofErr w:type="spellEnd"/>
      <w:r w:rsidRPr="00CC479B">
        <w:rPr>
          <w:rFonts w:cs="Arial"/>
          <w:sz w:val="20"/>
          <w:szCs w:val="20"/>
        </w:rPr>
        <w:t xml:space="preserve"> could use some DL power backoff operations to mitigate the effects of the </w:t>
      </w:r>
      <w:r w:rsidRPr="00CC479B">
        <w:rPr>
          <w:rFonts w:cs="Arial"/>
          <w:sz w:val="20"/>
          <w:szCs w:val="20"/>
          <w:lang w:val="en-GB"/>
        </w:rPr>
        <w:t xml:space="preserve">self-interference caused by the FD operation as a part of </w:t>
      </w:r>
      <w:proofErr w:type="spellStart"/>
      <w:r w:rsidRPr="00CC479B">
        <w:rPr>
          <w:rFonts w:cs="Arial"/>
          <w:sz w:val="20"/>
          <w:szCs w:val="20"/>
          <w:lang w:val="en-GB"/>
        </w:rPr>
        <w:t>gNB</w:t>
      </w:r>
      <w:proofErr w:type="spellEnd"/>
      <w:r w:rsidRPr="00CC479B">
        <w:rPr>
          <w:rFonts w:cs="Arial"/>
          <w:sz w:val="20"/>
          <w:szCs w:val="20"/>
          <w:lang w:val="en-GB"/>
        </w:rPr>
        <w:t xml:space="preserve"> implementation. Since such a power management behaviour at the </w:t>
      </w:r>
      <w:proofErr w:type="spellStart"/>
      <w:r w:rsidRPr="00CC479B">
        <w:rPr>
          <w:rFonts w:cs="Arial"/>
          <w:sz w:val="20"/>
          <w:szCs w:val="20"/>
          <w:lang w:val="en-GB"/>
        </w:rPr>
        <w:t>gNB</w:t>
      </w:r>
      <w:proofErr w:type="spellEnd"/>
      <w:r w:rsidRPr="00CC479B">
        <w:rPr>
          <w:rFonts w:cs="Arial"/>
          <w:sz w:val="20"/>
          <w:szCs w:val="20"/>
          <w:lang w:val="en-GB"/>
        </w:rPr>
        <w:t xml:space="preserve"> can be in a dynamic manner especially for SBFD scenarios, it is beneficial to consider informing UE of the dynamic power adjustment and related operations, which can impact UE behaviours including CSI-RS measurements depending on the amount of the power backoff.</w:t>
      </w:r>
    </w:p>
    <w:p w14:paraId="4E5A696F" w14:textId="77777777"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Observation 9.</w:t>
      </w:r>
      <w:r w:rsidRPr="00CC479B">
        <w:rPr>
          <w:rFonts w:cs="Arial"/>
          <w:i/>
          <w:iCs/>
          <w:sz w:val="20"/>
          <w:szCs w:val="20"/>
        </w:rPr>
        <w:t xml:space="preserve"> Dynamic DL power backoff/control mechanisms at </w:t>
      </w:r>
      <w:proofErr w:type="spellStart"/>
      <w:r w:rsidRPr="00CC479B">
        <w:rPr>
          <w:rFonts w:cs="Arial"/>
          <w:i/>
          <w:iCs/>
          <w:sz w:val="20"/>
          <w:szCs w:val="20"/>
        </w:rPr>
        <w:t>gNB</w:t>
      </w:r>
      <w:proofErr w:type="spellEnd"/>
      <w:r w:rsidRPr="00CC479B">
        <w:rPr>
          <w:rFonts w:cs="Arial"/>
          <w:i/>
          <w:iCs/>
          <w:sz w:val="20"/>
          <w:szCs w:val="20"/>
        </w:rPr>
        <w:t xml:space="preserve"> could be used </w:t>
      </w:r>
      <w:r w:rsidRPr="00CC479B">
        <w:rPr>
          <w:rFonts w:cs="Arial"/>
          <w:i/>
          <w:iCs/>
          <w:sz w:val="20"/>
          <w:szCs w:val="20"/>
          <w:lang w:val="en-GB"/>
        </w:rPr>
        <w:t xml:space="preserve">to deal with self-interference caused by the FD operation at the </w:t>
      </w:r>
      <w:proofErr w:type="spellStart"/>
      <w:r w:rsidRPr="00CC479B">
        <w:rPr>
          <w:rFonts w:cs="Arial"/>
          <w:i/>
          <w:iCs/>
          <w:sz w:val="20"/>
          <w:szCs w:val="20"/>
          <w:lang w:val="en-GB"/>
        </w:rPr>
        <w:t>gNB</w:t>
      </w:r>
      <w:proofErr w:type="spellEnd"/>
      <w:r w:rsidRPr="00CC479B">
        <w:rPr>
          <w:rFonts w:cs="Arial"/>
          <w:i/>
          <w:iCs/>
          <w:sz w:val="20"/>
          <w:szCs w:val="20"/>
          <w:lang w:val="en-GB"/>
        </w:rPr>
        <w:t>, where such mechanism could impact UE behaviours including CSI-RS measurements depending on the amount of the power backoff.</w:t>
      </w:r>
    </w:p>
    <w:p w14:paraId="7D8B9CD0" w14:textId="77777777" w:rsidR="00CC479B" w:rsidRPr="00CC479B" w:rsidRDefault="00CC479B" w:rsidP="00CC479B">
      <w:pPr>
        <w:rPr>
          <w:rFonts w:cs="Arial"/>
          <w:i/>
          <w:iCs/>
        </w:rPr>
      </w:pPr>
      <w:r w:rsidRPr="00CC479B">
        <w:rPr>
          <w:rFonts w:cs="Arial"/>
          <w:b/>
          <w:bCs/>
          <w:i/>
          <w:iCs/>
        </w:rPr>
        <w:t xml:space="preserve">Proposal 9.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700BE16E" w14:textId="77777777" w:rsidR="00CC479B" w:rsidRPr="00CC479B" w:rsidRDefault="00CC479B" w:rsidP="00CC479B">
      <w:pPr>
        <w:rPr>
          <w:rFonts w:cs="Arial"/>
        </w:rPr>
      </w:pPr>
    </w:p>
    <w:p w14:paraId="12D41B32" w14:textId="77777777" w:rsidR="00CC479B" w:rsidRPr="00CC479B" w:rsidRDefault="00CC479B" w:rsidP="00CC479B">
      <w:pPr>
        <w:pStyle w:val="Heading2"/>
      </w:pPr>
      <w:r w:rsidRPr="00CC479B">
        <w:t xml:space="preserve">Analysis on CLI effects in dynamic/flexible TDD scenario </w:t>
      </w:r>
    </w:p>
    <w:p w14:paraId="6E2405BC"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In this subsection, we discuss CLI effects in dynamic/flexible TDD scenario based on initial SLS results, where we conducted the SLS to see how much of a negative impact on DL and UL reception in a cell can be observed, when inter-cell CLI from neighbor cell(s) may be present dynamically per slot basis.</w:t>
      </w:r>
    </w:p>
    <w:p w14:paraId="76FCDC74"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Simulation assumptions for the SLS are summarized in the Appendix. We compare performance of a baseline TDD scheme, wherein all </w:t>
      </w:r>
      <w:proofErr w:type="spellStart"/>
      <w:r w:rsidRPr="00CC479B">
        <w:rPr>
          <w:rFonts w:eastAsia="Times New Roman" w:cs="Arial"/>
          <w:color w:val="000000"/>
          <w:sz w:val="20"/>
          <w:szCs w:val="20"/>
        </w:rPr>
        <w:t>gNBs</w:t>
      </w:r>
      <w:proofErr w:type="spellEnd"/>
      <w:r w:rsidRPr="00CC479B">
        <w:rPr>
          <w:rFonts w:eastAsia="Times New Roman" w:cs="Arial"/>
          <w:color w:val="000000"/>
          <w:sz w:val="20"/>
          <w:szCs w:val="20"/>
        </w:rPr>
        <w:t xml:space="preserve">/cells in the deployment use an aligned (common) TDD configuration and compare this to a flexible duplex scheme where each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can independently and dynamically adjust its TDD configuration based on traffic requirements in its cell. </w:t>
      </w:r>
    </w:p>
    <w:p w14:paraId="5DA2425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We consider two different traffic configurations: (</w:t>
      </w:r>
      <w:proofErr w:type="spellStart"/>
      <w:r w:rsidRPr="00CC479B">
        <w:rPr>
          <w:rFonts w:eastAsia="Times New Roman" w:cs="Arial"/>
          <w:color w:val="000000"/>
          <w:sz w:val="20"/>
          <w:szCs w:val="20"/>
        </w:rPr>
        <w:t>i</w:t>
      </w:r>
      <w:proofErr w:type="spellEnd"/>
      <w:r w:rsidRPr="00CC479B">
        <w:rPr>
          <w:rFonts w:eastAsia="Times New Roman" w:cs="Arial"/>
          <w:color w:val="000000"/>
          <w:sz w:val="20"/>
          <w:szCs w:val="2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UPT for baseline vs. flexible </w:t>
      </w:r>
      <w:r w:rsidRPr="00CC479B">
        <w:rPr>
          <w:rFonts w:eastAsia="Times New Roman" w:cs="Arial"/>
          <w:color w:val="000000"/>
          <w:sz w:val="20"/>
          <w:szCs w:val="20"/>
        </w:rPr>
        <w:lastRenderedPageBreak/>
        <w:t>duplex. We observe a significant drop in DL and UL UPT (both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and mean UPT) for both DL/UL ratios. The UPT loss increases as load on the system increases. This is also confirmed by the increase in cell RU observed for the flexible duplex schemes when compared to the baseline scheme. </w:t>
      </w:r>
    </w:p>
    <w:p w14:paraId="34D86C69"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This increase in RU is a result of increased CLI (i.e., UE-to-UE as well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-to-</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interference) which results from different cells having different UL and DL selections at the same time (slot). The increased 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w:t>
      </w:r>
      <w:proofErr w:type="spellStart"/>
      <w:r w:rsidRPr="00CC479B">
        <w:rPr>
          <w:rFonts w:eastAsia="Times New Roman" w:cs="Arial"/>
          <w:color w:val="000000"/>
          <w:sz w:val="20"/>
          <w:szCs w:val="20"/>
        </w:rPr>
        <w:t>gNB-gNB</w:t>
      </w:r>
      <w:proofErr w:type="spellEnd"/>
      <w:r w:rsidRPr="00CC479B">
        <w:rPr>
          <w:rFonts w:eastAsia="Times New Roman" w:cs="Arial"/>
          <w:color w:val="000000"/>
          <w:sz w:val="20"/>
          <w:szCs w:val="20"/>
        </w:rPr>
        <w:t xml:space="preserve"> and UE-UE cross link interference on UL and DL performance, highlighting the need for effective CLI mitigation technique, especially when operating in a deployment that is subject to high interference such as Indoor.</w:t>
      </w:r>
    </w:p>
    <w:p w14:paraId="6DC3B954" w14:textId="77777777" w:rsidR="00CC479B" w:rsidRPr="00CC479B" w:rsidRDefault="00CC479B" w:rsidP="00CC479B">
      <w:pPr>
        <w:ind w:left="1440" w:firstLine="720"/>
        <w:rPr>
          <w:rFonts w:cs="Arial"/>
          <w:b/>
          <w:bCs/>
          <w:color w:val="000000"/>
        </w:rPr>
      </w:pPr>
    </w:p>
    <w:p w14:paraId="08A9CCC5" w14:textId="77777777" w:rsidR="00CC479B" w:rsidRPr="00CC479B" w:rsidRDefault="00CC479B" w:rsidP="00CC479B">
      <w:pPr>
        <w:jc w:val="center"/>
        <w:rPr>
          <w:rFonts w:cs="Arial"/>
        </w:rPr>
      </w:pPr>
      <w:r w:rsidRPr="00CC479B">
        <w:rPr>
          <w:rFonts w:cs="Arial"/>
        </w:rPr>
        <w:t xml:space="preserve"> Table 1: DL and UL Performance for Indoor office </w:t>
      </w:r>
    </w:p>
    <w:tbl>
      <w:tblPr>
        <w:tblStyle w:val="TableGrid2"/>
        <w:tblW w:w="11154" w:type="dxa"/>
        <w:jc w:val="center"/>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630"/>
        <w:gridCol w:w="810"/>
        <w:gridCol w:w="810"/>
        <w:gridCol w:w="900"/>
        <w:gridCol w:w="900"/>
        <w:gridCol w:w="810"/>
      </w:tblGrid>
      <w:tr w:rsidR="00CC479B" w:rsidRPr="00CC479B" w14:paraId="370FFB4D" w14:textId="77777777" w:rsidTr="00E46E0E">
        <w:trPr>
          <w:cantSplit/>
          <w:trHeight w:val="23"/>
          <w:jc w:val="center"/>
        </w:trPr>
        <w:tc>
          <w:tcPr>
            <w:tcW w:w="1012" w:type="dxa"/>
            <w:gridSpan w:val="2"/>
            <w:vMerge w:val="restart"/>
          </w:tcPr>
          <w:p w14:paraId="752161C7" w14:textId="77777777" w:rsidR="00CC479B" w:rsidRPr="00CC479B" w:rsidRDefault="00CC479B" w:rsidP="00CC479B">
            <w:pPr>
              <w:jc w:val="center"/>
              <w:rPr>
                <w:rFonts w:cs="Arial"/>
              </w:rPr>
            </w:pPr>
          </w:p>
          <w:p w14:paraId="1CB102AF" w14:textId="77777777" w:rsidR="00CC479B" w:rsidRPr="00CC479B" w:rsidRDefault="00CC479B" w:rsidP="00CC479B">
            <w:pPr>
              <w:jc w:val="center"/>
              <w:rPr>
                <w:rFonts w:cs="Arial"/>
              </w:rPr>
            </w:pPr>
            <w:r w:rsidRPr="00CC479B">
              <w:rPr>
                <w:rFonts w:cs="Arial"/>
              </w:rPr>
              <w:t>Reported parameters</w:t>
            </w:r>
          </w:p>
        </w:tc>
        <w:tc>
          <w:tcPr>
            <w:tcW w:w="2582" w:type="dxa"/>
            <w:gridSpan w:val="3"/>
          </w:tcPr>
          <w:p w14:paraId="4DC0C2EC" w14:textId="77777777" w:rsidR="00CC479B" w:rsidRPr="00CC479B" w:rsidRDefault="00CC479B" w:rsidP="00CC479B">
            <w:pPr>
              <w:jc w:val="center"/>
              <w:rPr>
                <w:rFonts w:cs="Arial"/>
              </w:rPr>
            </w:pPr>
            <w:r w:rsidRPr="00CC479B">
              <w:rPr>
                <w:rFonts w:cs="Arial"/>
              </w:rPr>
              <w:t>DL/UL ratio 1/1</w:t>
            </w:r>
          </w:p>
          <w:p w14:paraId="7702BF48" w14:textId="77777777" w:rsidR="00CC479B" w:rsidRPr="00CC479B" w:rsidRDefault="00CC479B" w:rsidP="00CC479B">
            <w:pPr>
              <w:jc w:val="center"/>
              <w:rPr>
                <w:rFonts w:cs="Arial"/>
              </w:rPr>
            </w:pPr>
            <w:r w:rsidRPr="00CC479B">
              <w:rPr>
                <w:rFonts w:cs="Arial"/>
              </w:rPr>
              <w:t>(</w:t>
            </w:r>
            <w:proofErr w:type="gramStart"/>
            <w:r w:rsidRPr="00CC479B">
              <w:rPr>
                <w:rFonts w:cs="Arial"/>
              </w:rPr>
              <w:t>low</w:t>
            </w:r>
            <w:proofErr w:type="gramEnd"/>
            <w:r w:rsidRPr="00CC479B">
              <w:rPr>
                <w:rFonts w:cs="Arial"/>
              </w:rPr>
              <w:t xml:space="preserve"> load)</w:t>
            </w:r>
          </w:p>
        </w:tc>
        <w:tc>
          <w:tcPr>
            <w:tcW w:w="2700" w:type="dxa"/>
            <w:gridSpan w:val="3"/>
          </w:tcPr>
          <w:p w14:paraId="3F712E68" w14:textId="77777777" w:rsidR="00CC479B" w:rsidRPr="00CC479B" w:rsidRDefault="00CC479B" w:rsidP="00CC479B">
            <w:pPr>
              <w:jc w:val="center"/>
              <w:rPr>
                <w:rFonts w:cs="Arial"/>
              </w:rPr>
            </w:pPr>
            <w:r w:rsidRPr="00CC479B">
              <w:rPr>
                <w:rFonts w:cs="Arial"/>
              </w:rPr>
              <w:t>DL/UL ratio 2/1</w:t>
            </w:r>
          </w:p>
          <w:p w14:paraId="740E325B"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low</w:t>
            </w:r>
            <w:proofErr w:type="gramEnd"/>
            <w:r w:rsidRPr="00CC479B">
              <w:rPr>
                <w:rFonts w:cs="Arial"/>
              </w:rPr>
              <w:t xml:space="preserve"> load)</w:t>
            </w:r>
          </w:p>
        </w:tc>
        <w:tc>
          <w:tcPr>
            <w:tcW w:w="2250" w:type="dxa"/>
            <w:gridSpan w:val="3"/>
          </w:tcPr>
          <w:p w14:paraId="5FAEC072" w14:textId="77777777" w:rsidR="00CC479B" w:rsidRPr="00CC479B" w:rsidRDefault="00CC479B" w:rsidP="00CC479B">
            <w:pPr>
              <w:jc w:val="center"/>
              <w:rPr>
                <w:rFonts w:cs="Arial"/>
              </w:rPr>
            </w:pPr>
            <w:r w:rsidRPr="00CC479B">
              <w:rPr>
                <w:rFonts w:cs="Arial"/>
              </w:rPr>
              <w:t>DL/UL ratio 1/1</w:t>
            </w:r>
          </w:p>
          <w:p w14:paraId="4E19CB20"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c>
          <w:tcPr>
            <w:tcW w:w="2610" w:type="dxa"/>
            <w:gridSpan w:val="3"/>
          </w:tcPr>
          <w:p w14:paraId="4E92722D" w14:textId="77777777" w:rsidR="00CC479B" w:rsidRPr="00CC479B" w:rsidRDefault="00CC479B" w:rsidP="00CC479B">
            <w:pPr>
              <w:jc w:val="center"/>
              <w:rPr>
                <w:rFonts w:cs="Arial"/>
              </w:rPr>
            </w:pPr>
            <w:r w:rsidRPr="00CC479B">
              <w:rPr>
                <w:rFonts w:cs="Arial"/>
              </w:rPr>
              <w:t>DL/UL ratio 2/1</w:t>
            </w:r>
          </w:p>
          <w:p w14:paraId="6333033C"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r>
      <w:tr w:rsidR="00CC479B" w:rsidRPr="00CC479B" w14:paraId="21EB1BEA" w14:textId="77777777" w:rsidTr="00E46E0E">
        <w:trPr>
          <w:cantSplit/>
          <w:trHeight w:val="23"/>
          <w:jc w:val="center"/>
        </w:trPr>
        <w:tc>
          <w:tcPr>
            <w:tcW w:w="1012" w:type="dxa"/>
            <w:gridSpan w:val="2"/>
            <w:vMerge/>
          </w:tcPr>
          <w:p w14:paraId="7B287F07" w14:textId="77777777" w:rsidR="00CC479B" w:rsidRPr="00CC479B" w:rsidRDefault="00CC479B" w:rsidP="00CC479B">
            <w:pPr>
              <w:jc w:val="center"/>
              <w:rPr>
                <w:rFonts w:cs="Arial"/>
              </w:rPr>
            </w:pPr>
          </w:p>
        </w:tc>
        <w:tc>
          <w:tcPr>
            <w:tcW w:w="872" w:type="dxa"/>
          </w:tcPr>
          <w:p w14:paraId="5B9E2960" w14:textId="77777777" w:rsidR="00CC479B" w:rsidRPr="00CC479B" w:rsidRDefault="00CC479B" w:rsidP="00CC479B">
            <w:pPr>
              <w:jc w:val="center"/>
              <w:rPr>
                <w:rFonts w:cs="Arial"/>
              </w:rPr>
            </w:pPr>
            <w:r w:rsidRPr="00CC479B">
              <w:rPr>
                <w:rFonts w:cs="Arial"/>
              </w:rPr>
              <w:t>Baseline</w:t>
            </w:r>
          </w:p>
        </w:tc>
        <w:tc>
          <w:tcPr>
            <w:tcW w:w="990" w:type="dxa"/>
          </w:tcPr>
          <w:p w14:paraId="5DA62F33" w14:textId="77777777" w:rsidR="00CC479B" w:rsidRPr="00CC479B" w:rsidRDefault="00CC479B" w:rsidP="00CC479B">
            <w:pPr>
              <w:jc w:val="center"/>
              <w:rPr>
                <w:rFonts w:cs="Arial"/>
              </w:rPr>
            </w:pPr>
            <w:r w:rsidRPr="00CC479B">
              <w:rPr>
                <w:rFonts w:cs="Arial"/>
              </w:rPr>
              <w:t>Flexible Duplex</w:t>
            </w:r>
          </w:p>
        </w:tc>
        <w:tc>
          <w:tcPr>
            <w:tcW w:w="720" w:type="dxa"/>
          </w:tcPr>
          <w:p w14:paraId="4B6DA3E0" w14:textId="77777777" w:rsidR="00CC479B" w:rsidRPr="00CC479B" w:rsidRDefault="00CC479B" w:rsidP="00CC479B">
            <w:pPr>
              <w:jc w:val="center"/>
              <w:rPr>
                <w:rFonts w:cs="Arial"/>
              </w:rPr>
            </w:pPr>
            <w:r w:rsidRPr="00CC479B">
              <w:rPr>
                <w:rFonts w:cs="Arial"/>
              </w:rPr>
              <w:t>UPT gain/loss</w:t>
            </w:r>
          </w:p>
        </w:tc>
        <w:tc>
          <w:tcPr>
            <w:tcW w:w="720" w:type="dxa"/>
          </w:tcPr>
          <w:p w14:paraId="483494E0" w14:textId="77777777" w:rsidR="00CC479B" w:rsidRPr="00CC479B" w:rsidRDefault="00CC479B" w:rsidP="00CC479B">
            <w:pPr>
              <w:jc w:val="center"/>
              <w:rPr>
                <w:rFonts w:cs="Arial"/>
              </w:rPr>
            </w:pPr>
            <w:r w:rsidRPr="00CC479B">
              <w:rPr>
                <w:rFonts w:cs="Arial"/>
              </w:rPr>
              <w:t>Baseline</w:t>
            </w:r>
          </w:p>
        </w:tc>
        <w:tc>
          <w:tcPr>
            <w:tcW w:w="1170" w:type="dxa"/>
          </w:tcPr>
          <w:p w14:paraId="244040AD" w14:textId="77777777" w:rsidR="00CC479B" w:rsidRPr="00CC479B" w:rsidRDefault="00CC479B" w:rsidP="00CC479B">
            <w:pPr>
              <w:jc w:val="center"/>
              <w:rPr>
                <w:rFonts w:cs="Arial"/>
              </w:rPr>
            </w:pPr>
            <w:r w:rsidRPr="00CC479B">
              <w:rPr>
                <w:rFonts w:cs="Arial"/>
              </w:rPr>
              <w:t>Flexible Duplex</w:t>
            </w:r>
          </w:p>
        </w:tc>
        <w:tc>
          <w:tcPr>
            <w:tcW w:w="810" w:type="dxa"/>
          </w:tcPr>
          <w:p w14:paraId="4FFDE485" w14:textId="77777777" w:rsidR="00CC479B" w:rsidRPr="00CC479B" w:rsidRDefault="00CC479B" w:rsidP="00CC479B">
            <w:pPr>
              <w:jc w:val="center"/>
              <w:rPr>
                <w:rFonts w:cs="Arial"/>
              </w:rPr>
            </w:pPr>
            <w:r w:rsidRPr="00CC479B">
              <w:rPr>
                <w:rFonts w:cs="Arial"/>
              </w:rPr>
              <w:t>UPT gain/loss</w:t>
            </w:r>
          </w:p>
        </w:tc>
        <w:tc>
          <w:tcPr>
            <w:tcW w:w="630" w:type="dxa"/>
          </w:tcPr>
          <w:p w14:paraId="5A349A95" w14:textId="77777777" w:rsidR="00CC479B" w:rsidRPr="00CC479B" w:rsidRDefault="00CC479B" w:rsidP="00CC479B">
            <w:pPr>
              <w:jc w:val="center"/>
              <w:rPr>
                <w:rFonts w:cs="Arial"/>
                <w:lang w:val="de-DE"/>
              </w:rPr>
            </w:pPr>
            <w:r w:rsidRPr="00CC479B">
              <w:rPr>
                <w:rFonts w:cs="Arial"/>
              </w:rPr>
              <w:t>Baseline</w:t>
            </w:r>
          </w:p>
        </w:tc>
        <w:tc>
          <w:tcPr>
            <w:tcW w:w="810" w:type="dxa"/>
          </w:tcPr>
          <w:p w14:paraId="2F1B1EEC" w14:textId="77777777" w:rsidR="00CC479B" w:rsidRPr="00CC479B" w:rsidRDefault="00CC479B" w:rsidP="00CC479B">
            <w:pPr>
              <w:jc w:val="center"/>
              <w:rPr>
                <w:rFonts w:cs="Arial"/>
                <w:lang w:val="de-DE"/>
              </w:rPr>
            </w:pPr>
            <w:r w:rsidRPr="00CC479B">
              <w:rPr>
                <w:rFonts w:cs="Arial"/>
              </w:rPr>
              <w:t>Flexible Duplex</w:t>
            </w:r>
          </w:p>
        </w:tc>
        <w:tc>
          <w:tcPr>
            <w:tcW w:w="810" w:type="dxa"/>
          </w:tcPr>
          <w:p w14:paraId="3E7E0094" w14:textId="77777777" w:rsidR="00CC479B" w:rsidRPr="00CC479B" w:rsidRDefault="00CC479B" w:rsidP="00CC479B">
            <w:pPr>
              <w:jc w:val="center"/>
              <w:rPr>
                <w:rFonts w:cs="Arial"/>
                <w:lang w:val="de-DE"/>
              </w:rPr>
            </w:pPr>
            <w:r w:rsidRPr="00CC479B">
              <w:rPr>
                <w:rFonts w:cs="Arial"/>
              </w:rPr>
              <w:t>UPT gain/loss</w:t>
            </w:r>
          </w:p>
        </w:tc>
        <w:tc>
          <w:tcPr>
            <w:tcW w:w="900" w:type="dxa"/>
          </w:tcPr>
          <w:p w14:paraId="02E8F421" w14:textId="77777777" w:rsidR="00CC479B" w:rsidRPr="00CC479B" w:rsidRDefault="00CC479B" w:rsidP="00CC479B">
            <w:pPr>
              <w:jc w:val="center"/>
              <w:rPr>
                <w:rFonts w:cs="Arial"/>
              </w:rPr>
            </w:pPr>
            <w:r w:rsidRPr="00CC479B">
              <w:rPr>
                <w:rFonts w:cs="Arial"/>
              </w:rPr>
              <w:t>Baseline</w:t>
            </w:r>
          </w:p>
        </w:tc>
        <w:tc>
          <w:tcPr>
            <w:tcW w:w="900" w:type="dxa"/>
          </w:tcPr>
          <w:p w14:paraId="3DEA389B" w14:textId="77777777" w:rsidR="00CC479B" w:rsidRPr="00CC479B" w:rsidRDefault="00CC479B" w:rsidP="00CC479B">
            <w:pPr>
              <w:jc w:val="center"/>
              <w:rPr>
                <w:rFonts w:cs="Arial"/>
              </w:rPr>
            </w:pPr>
            <w:r w:rsidRPr="00CC479B">
              <w:rPr>
                <w:rFonts w:cs="Arial"/>
              </w:rPr>
              <w:t>Flexible Duplex</w:t>
            </w:r>
          </w:p>
        </w:tc>
        <w:tc>
          <w:tcPr>
            <w:tcW w:w="810" w:type="dxa"/>
          </w:tcPr>
          <w:p w14:paraId="5D8A6900" w14:textId="77777777" w:rsidR="00CC479B" w:rsidRPr="00CC479B" w:rsidRDefault="00CC479B" w:rsidP="00CC479B">
            <w:pPr>
              <w:jc w:val="center"/>
              <w:rPr>
                <w:rFonts w:cs="Arial"/>
              </w:rPr>
            </w:pPr>
            <w:r w:rsidRPr="00CC479B">
              <w:rPr>
                <w:rFonts w:cs="Arial"/>
              </w:rPr>
              <w:t>UPT gain/loss</w:t>
            </w:r>
          </w:p>
        </w:tc>
      </w:tr>
      <w:tr w:rsidR="00CC479B" w:rsidRPr="00CC479B" w14:paraId="06EBC491" w14:textId="77777777" w:rsidTr="00E46E0E">
        <w:trPr>
          <w:cantSplit/>
          <w:trHeight w:val="23"/>
          <w:jc w:val="center"/>
        </w:trPr>
        <w:tc>
          <w:tcPr>
            <w:tcW w:w="554" w:type="dxa"/>
            <w:vMerge w:val="restart"/>
          </w:tcPr>
          <w:p w14:paraId="539A9D99" w14:textId="77777777" w:rsidR="00CC479B" w:rsidRPr="00CC479B" w:rsidRDefault="00CC479B" w:rsidP="00CC479B">
            <w:pPr>
              <w:jc w:val="center"/>
              <w:rPr>
                <w:rFonts w:cs="Arial"/>
              </w:rPr>
            </w:pPr>
            <w:r w:rsidRPr="00CC479B">
              <w:rPr>
                <w:rFonts w:cs="Arial"/>
              </w:rPr>
              <w:t>DL</w:t>
            </w:r>
          </w:p>
          <w:p w14:paraId="6D9CDC42" w14:textId="77777777" w:rsidR="00CC479B" w:rsidRPr="00CC479B" w:rsidRDefault="00CC479B" w:rsidP="00CC479B">
            <w:pPr>
              <w:jc w:val="center"/>
              <w:rPr>
                <w:rFonts w:cs="Arial"/>
              </w:rPr>
            </w:pPr>
            <w:r w:rsidRPr="00CC479B">
              <w:rPr>
                <w:rFonts w:cs="Arial"/>
              </w:rPr>
              <w:t>UPT</w:t>
            </w:r>
          </w:p>
          <w:p w14:paraId="35BABC79" w14:textId="77777777" w:rsidR="00CC479B" w:rsidRPr="00CC479B" w:rsidRDefault="00CC479B" w:rsidP="00CC479B">
            <w:pPr>
              <w:jc w:val="center"/>
              <w:rPr>
                <w:rFonts w:cs="Arial"/>
              </w:rPr>
            </w:pPr>
            <w:r w:rsidRPr="00CC479B">
              <w:rPr>
                <w:rFonts w:cs="Arial"/>
              </w:rPr>
              <w:t>[Mbps]</w:t>
            </w:r>
          </w:p>
        </w:tc>
        <w:tc>
          <w:tcPr>
            <w:tcW w:w="458" w:type="dxa"/>
          </w:tcPr>
          <w:p w14:paraId="57DD4865"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5F2F2DBF" w14:textId="77777777" w:rsidR="00CC479B" w:rsidRPr="00CC479B" w:rsidRDefault="00CC479B" w:rsidP="00CC479B">
            <w:pPr>
              <w:jc w:val="center"/>
              <w:rPr>
                <w:rFonts w:cs="Arial"/>
                <w:lang w:eastAsia="x-none"/>
              </w:rPr>
            </w:pPr>
            <w:r w:rsidRPr="00CC479B">
              <w:rPr>
                <w:rFonts w:cs="Arial"/>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2FFAD72C" w14:textId="77777777" w:rsidR="00CC479B" w:rsidRPr="00CC479B" w:rsidRDefault="00CC479B" w:rsidP="00CC479B">
            <w:pPr>
              <w:jc w:val="center"/>
              <w:rPr>
                <w:rFonts w:cs="Arial"/>
                <w:lang w:eastAsia="x-none"/>
              </w:rPr>
            </w:pPr>
            <w:r w:rsidRPr="00CC479B">
              <w:rPr>
                <w:rFonts w:cs="Arial"/>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1D8435" w14:textId="77777777" w:rsidR="00CC479B" w:rsidRPr="00CC479B" w:rsidRDefault="00CC479B" w:rsidP="00CC479B">
            <w:pPr>
              <w:jc w:val="center"/>
              <w:rPr>
                <w:rFonts w:cs="Arial"/>
                <w:color w:val="FF0000"/>
                <w:lang w:eastAsia="x-none"/>
              </w:rPr>
            </w:pPr>
            <w:r w:rsidRPr="00CC479B">
              <w:rPr>
                <w:rFonts w:cs="Arial"/>
                <w:color w:val="FF0000"/>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1865BB33" w14:textId="77777777" w:rsidR="00CC479B" w:rsidRPr="00CC479B" w:rsidRDefault="00CC479B" w:rsidP="00CC479B">
            <w:pPr>
              <w:jc w:val="center"/>
              <w:rPr>
                <w:rFonts w:cs="Arial"/>
                <w:lang w:eastAsia="x-none"/>
              </w:rPr>
            </w:pPr>
            <w:r w:rsidRPr="00CC479B">
              <w:rPr>
                <w:rFonts w:cs="Arial"/>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11CB541E" w14:textId="77777777" w:rsidR="00CC479B" w:rsidRPr="00CC479B" w:rsidRDefault="00CC479B" w:rsidP="00CC479B">
            <w:pPr>
              <w:jc w:val="center"/>
              <w:rPr>
                <w:rFonts w:cs="Arial"/>
                <w:lang w:eastAsia="x-none"/>
              </w:rPr>
            </w:pPr>
            <w:r w:rsidRPr="00CC479B">
              <w:rPr>
                <w:rFonts w:cs="Arial"/>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066CC67" w14:textId="77777777" w:rsidR="00CC479B" w:rsidRPr="00CC479B" w:rsidRDefault="00CC479B" w:rsidP="00CC479B">
            <w:pPr>
              <w:jc w:val="center"/>
              <w:rPr>
                <w:rFonts w:cs="Arial"/>
                <w:color w:val="FF0000"/>
                <w:lang w:eastAsia="x-none"/>
              </w:rPr>
            </w:pPr>
            <w:r w:rsidRPr="00CC479B">
              <w:rPr>
                <w:rFonts w:cs="Arial"/>
                <w:color w:val="FF0000"/>
                <w:lang w:eastAsia="x-none"/>
              </w:rPr>
              <w:t>-16.96%</w:t>
            </w:r>
          </w:p>
        </w:tc>
        <w:tc>
          <w:tcPr>
            <w:tcW w:w="630" w:type="dxa"/>
            <w:tcBorders>
              <w:top w:val="single" w:sz="4" w:space="0" w:color="auto"/>
              <w:left w:val="nil"/>
              <w:bottom w:val="single" w:sz="4" w:space="0" w:color="auto"/>
              <w:right w:val="single" w:sz="4" w:space="0" w:color="auto"/>
            </w:tcBorders>
            <w:shd w:val="clear" w:color="auto" w:fill="auto"/>
            <w:vAlign w:val="bottom"/>
          </w:tcPr>
          <w:p w14:paraId="42BC6C86" w14:textId="77777777" w:rsidR="00CC479B" w:rsidRPr="00CC479B" w:rsidRDefault="00CC479B" w:rsidP="00CC479B">
            <w:pPr>
              <w:jc w:val="center"/>
              <w:rPr>
                <w:rFonts w:cs="Arial"/>
                <w:lang w:eastAsia="x-none"/>
              </w:rPr>
            </w:pPr>
            <w:r w:rsidRPr="00CC479B">
              <w:rPr>
                <w:rFonts w:cs="Arial"/>
              </w:rPr>
              <w:t>20.48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19C3A1A" w14:textId="77777777" w:rsidR="00CC479B" w:rsidRPr="00CC479B" w:rsidRDefault="00CC479B" w:rsidP="00CC479B">
            <w:pPr>
              <w:jc w:val="center"/>
              <w:rPr>
                <w:rFonts w:cs="Arial"/>
                <w:lang w:eastAsia="x-none"/>
              </w:rPr>
            </w:pPr>
            <w:r w:rsidRPr="00CC479B">
              <w:rPr>
                <w:rFonts w:cs="Arial"/>
                <w:lang w:eastAsia="x-none"/>
              </w:rPr>
              <w:t>5.69</w:t>
            </w:r>
          </w:p>
        </w:tc>
        <w:tc>
          <w:tcPr>
            <w:tcW w:w="810" w:type="dxa"/>
            <w:tcBorders>
              <w:top w:val="single" w:sz="4" w:space="0" w:color="auto"/>
              <w:left w:val="nil"/>
              <w:bottom w:val="single" w:sz="4" w:space="0" w:color="auto"/>
              <w:right w:val="single" w:sz="4" w:space="0" w:color="auto"/>
            </w:tcBorders>
            <w:shd w:val="clear" w:color="auto" w:fill="auto"/>
            <w:vAlign w:val="bottom"/>
          </w:tcPr>
          <w:p w14:paraId="716DE716" w14:textId="77777777" w:rsidR="00CC479B" w:rsidRPr="00CC479B" w:rsidRDefault="00CC479B" w:rsidP="00CC479B">
            <w:pPr>
              <w:jc w:val="center"/>
              <w:rPr>
                <w:rFonts w:cs="Arial"/>
                <w:color w:val="FF0000"/>
                <w:lang w:eastAsia="x-none"/>
              </w:rPr>
            </w:pPr>
            <w:r w:rsidRPr="00CC479B">
              <w:rPr>
                <w:rFonts w:cs="Arial"/>
                <w:color w:val="FF0000"/>
                <w:lang w:eastAsia="x-none"/>
              </w:rPr>
              <w:t>-72.2%</w:t>
            </w:r>
          </w:p>
        </w:tc>
        <w:tc>
          <w:tcPr>
            <w:tcW w:w="900" w:type="dxa"/>
            <w:tcBorders>
              <w:top w:val="single" w:sz="4" w:space="0" w:color="auto"/>
              <w:left w:val="nil"/>
              <w:bottom w:val="single" w:sz="4" w:space="0" w:color="auto"/>
              <w:right w:val="single" w:sz="4" w:space="0" w:color="auto"/>
            </w:tcBorders>
            <w:shd w:val="clear" w:color="auto" w:fill="auto"/>
            <w:vAlign w:val="bottom"/>
          </w:tcPr>
          <w:p w14:paraId="2047298F" w14:textId="77777777" w:rsidR="00CC479B" w:rsidRPr="00CC479B" w:rsidRDefault="00CC479B" w:rsidP="00CC479B">
            <w:pPr>
              <w:jc w:val="center"/>
              <w:rPr>
                <w:rFonts w:cs="Arial"/>
                <w:lang w:eastAsia="x-none"/>
              </w:rPr>
            </w:pPr>
            <w:r w:rsidRPr="00CC479B">
              <w:rPr>
                <w:rFonts w:cs="Arial"/>
                <w:lang w:eastAsia="x-none"/>
              </w:rPr>
              <w:t>8.63</w:t>
            </w:r>
          </w:p>
        </w:tc>
        <w:tc>
          <w:tcPr>
            <w:tcW w:w="900" w:type="dxa"/>
            <w:tcBorders>
              <w:top w:val="single" w:sz="4" w:space="0" w:color="auto"/>
              <w:left w:val="nil"/>
              <w:bottom w:val="single" w:sz="4" w:space="0" w:color="auto"/>
              <w:right w:val="single" w:sz="4" w:space="0" w:color="auto"/>
            </w:tcBorders>
            <w:shd w:val="clear" w:color="auto" w:fill="auto"/>
            <w:vAlign w:val="bottom"/>
          </w:tcPr>
          <w:p w14:paraId="65122272" w14:textId="77777777" w:rsidR="00CC479B" w:rsidRPr="00CC479B" w:rsidRDefault="00CC479B" w:rsidP="00CC479B">
            <w:pPr>
              <w:jc w:val="center"/>
              <w:rPr>
                <w:rFonts w:cs="Arial"/>
                <w:lang w:eastAsia="x-none"/>
              </w:rPr>
            </w:pPr>
            <w:r w:rsidRPr="00CC479B">
              <w:rPr>
                <w:rFonts w:cs="Arial"/>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03C064E8" w14:textId="77777777" w:rsidR="00CC479B" w:rsidRPr="00CC479B" w:rsidRDefault="00CC479B" w:rsidP="00CC479B">
            <w:pPr>
              <w:jc w:val="center"/>
              <w:rPr>
                <w:rFonts w:cs="Arial"/>
                <w:color w:val="FF0000"/>
                <w:lang w:eastAsia="x-none"/>
              </w:rPr>
            </w:pPr>
            <w:r w:rsidRPr="00CC479B">
              <w:rPr>
                <w:rFonts w:cs="Arial"/>
                <w:color w:val="FF0000"/>
                <w:lang w:eastAsia="x-none"/>
              </w:rPr>
              <w:t>-70.20%</w:t>
            </w:r>
          </w:p>
        </w:tc>
      </w:tr>
      <w:tr w:rsidR="00CC479B" w:rsidRPr="00CC479B" w14:paraId="24002ED9" w14:textId="77777777" w:rsidTr="00E46E0E">
        <w:trPr>
          <w:cantSplit/>
          <w:trHeight w:val="245"/>
          <w:jc w:val="center"/>
        </w:trPr>
        <w:tc>
          <w:tcPr>
            <w:tcW w:w="554" w:type="dxa"/>
            <w:vMerge/>
          </w:tcPr>
          <w:p w14:paraId="1DE0AF91" w14:textId="77777777" w:rsidR="00CC479B" w:rsidRPr="00CC479B" w:rsidRDefault="00CC479B" w:rsidP="00CC479B">
            <w:pPr>
              <w:jc w:val="center"/>
              <w:rPr>
                <w:rFonts w:cs="Arial"/>
              </w:rPr>
            </w:pPr>
          </w:p>
        </w:tc>
        <w:tc>
          <w:tcPr>
            <w:tcW w:w="458" w:type="dxa"/>
          </w:tcPr>
          <w:p w14:paraId="4FBC0CB1"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7C3FB2EC" w14:textId="77777777" w:rsidR="00CC479B" w:rsidRPr="00CC479B" w:rsidRDefault="00CC479B" w:rsidP="00CC479B">
            <w:pPr>
              <w:jc w:val="center"/>
              <w:rPr>
                <w:rFonts w:cs="Arial"/>
              </w:rPr>
            </w:pPr>
            <w:r w:rsidRPr="00CC479B">
              <w:rPr>
                <w:rFonts w:cs="Arial"/>
              </w:rPr>
              <w:t>84.41</w:t>
            </w:r>
          </w:p>
        </w:tc>
        <w:tc>
          <w:tcPr>
            <w:tcW w:w="990" w:type="dxa"/>
            <w:tcBorders>
              <w:top w:val="nil"/>
              <w:left w:val="nil"/>
              <w:bottom w:val="single" w:sz="4" w:space="0" w:color="auto"/>
              <w:right w:val="single" w:sz="4" w:space="0" w:color="auto"/>
            </w:tcBorders>
            <w:shd w:val="clear" w:color="auto" w:fill="auto"/>
            <w:vAlign w:val="bottom"/>
          </w:tcPr>
          <w:p w14:paraId="32BFF2A8" w14:textId="77777777" w:rsidR="00CC479B" w:rsidRPr="00CC479B" w:rsidRDefault="00CC479B" w:rsidP="00CC479B">
            <w:pPr>
              <w:jc w:val="center"/>
              <w:rPr>
                <w:rFonts w:cs="Arial"/>
              </w:rPr>
            </w:pPr>
            <w:r w:rsidRPr="00CC479B">
              <w:rPr>
                <w:rFonts w:cs="Arial"/>
              </w:rPr>
              <w:t>60.68</w:t>
            </w:r>
          </w:p>
        </w:tc>
        <w:tc>
          <w:tcPr>
            <w:tcW w:w="720" w:type="dxa"/>
            <w:tcBorders>
              <w:top w:val="nil"/>
              <w:left w:val="nil"/>
              <w:bottom w:val="single" w:sz="4" w:space="0" w:color="auto"/>
              <w:right w:val="single" w:sz="4" w:space="0" w:color="auto"/>
            </w:tcBorders>
            <w:shd w:val="clear" w:color="auto" w:fill="auto"/>
            <w:vAlign w:val="bottom"/>
          </w:tcPr>
          <w:p w14:paraId="08CCF8AB" w14:textId="77777777" w:rsidR="00CC479B" w:rsidRPr="00CC479B" w:rsidRDefault="00CC479B" w:rsidP="00CC479B">
            <w:pPr>
              <w:jc w:val="center"/>
              <w:rPr>
                <w:rFonts w:cs="Arial"/>
                <w:color w:val="FF0000"/>
              </w:rPr>
            </w:pPr>
            <w:r w:rsidRPr="00CC479B">
              <w:rPr>
                <w:rFonts w:cs="Arial"/>
                <w:color w:val="FF0000"/>
              </w:rPr>
              <w:t>-28.11%</w:t>
            </w:r>
          </w:p>
        </w:tc>
        <w:tc>
          <w:tcPr>
            <w:tcW w:w="720" w:type="dxa"/>
            <w:tcBorders>
              <w:top w:val="nil"/>
              <w:left w:val="nil"/>
              <w:bottom w:val="single" w:sz="4" w:space="0" w:color="auto"/>
              <w:right w:val="single" w:sz="4" w:space="0" w:color="auto"/>
            </w:tcBorders>
            <w:shd w:val="clear" w:color="auto" w:fill="auto"/>
            <w:vAlign w:val="bottom"/>
          </w:tcPr>
          <w:p w14:paraId="3A6C5F3C" w14:textId="77777777" w:rsidR="00CC479B" w:rsidRPr="00CC479B" w:rsidRDefault="00CC479B" w:rsidP="00CC479B">
            <w:pPr>
              <w:jc w:val="center"/>
              <w:rPr>
                <w:rFonts w:cs="Arial"/>
              </w:rPr>
            </w:pPr>
            <w:r w:rsidRPr="00CC479B">
              <w:rPr>
                <w:rFonts w:cs="Arial"/>
              </w:rPr>
              <w:t>84.55</w:t>
            </w:r>
          </w:p>
        </w:tc>
        <w:tc>
          <w:tcPr>
            <w:tcW w:w="1170" w:type="dxa"/>
            <w:tcBorders>
              <w:top w:val="nil"/>
              <w:left w:val="nil"/>
              <w:bottom w:val="single" w:sz="4" w:space="0" w:color="auto"/>
              <w:right w:val="single" w:sz="4" w:space="0" w:color="auto"/>
            </w:tcBorders>
            <w:shd w:val="clear" w:color="auto" w:fill="auto"/>
            <w:vAlign w:val="bottom"/>
          </w:tcPr>
          <w:p w14:paraId="6A8E5397" w14:textId="77777777" w:rsidR="00CC479B" w:rsidRPr="00CC479B" w:rsidRDefault="00CC479B" w:rsidP="00CC479B">
            <w:pPr>
              <w:jc w:val="center"/>
              <w:rPr>
                <w:rFonts w:cs="Arial"/>
              </w:rPr>
            </w:pPr>
            <w:r w:rsidRPr="00CC479B">
              <w:rPr>
                <w:rFonts w:cs="Arial"/>
              </w:rPr>
              <w:t>80.88</w:t>
            </w:r>
          </w:p>
        </w:tc>
        <w:tc>
          <w:tcPr>
            <w:tcW w:w="810" w:type="dxa"/>
            <w:tcBorders>
              <w:top w:val="nil"/>
              <w:left w:val="nil"/>
              <w:bottom w:val="single" w:sz="4" w:space="0" w:color="auto"/>
              <w:right w:val="single" w:sz="4" w:space="0" w:color="auto"/>
            </w:tcBorders>
            <w:shd w:val="clear" w:color="auto" w:fill="auto"/>
            <w:vAlign w:val="bottom"/>
          </w:tcPr>
          <w:p w14:paraId="7129BD0A" w14:textId="77777777" w:rsidR="00CC479B" w:rsidRPr="00CC479B" w:rsidRDefault="00CC479B" w:rsidP="00CC479B">
            <w:pPr>
              <w:jc w:val="center"/>
              <w:rPr>
                <w:rFonts w:cs="Arial"/>
                <w:color w:val="FF0000"/>
              </w:rPr>
            </w:pPr>
            <w:r w:rsidRPr="00CC479B">
              <w:rPr>
                <w:rFonts w:cs="Arial"/>
                <w:color w:val="FF0000"/>
              </w:rPr>
              <w:t>-4.34%</w:t>
            </w:r>
          </w:p>
        </w:tc>
        <w:tc>
          <w:tcPr>
            <w:tcW w:w="630" w:type="dxa"/>
            <w:tcBorders>
              <w:top w:val="nil"/>
              <w:left w:val="nil"/>
              <w:bottom w:val="single" w:sz="4" w:space="0" w:color="auto"/>
              <w:right w:val="single" w:sz="4" w:space="0" w:color="auto"/>
            </w:tcBorders>
            <w:shd w:val="clear" w:color="auto" w:fill="auto"/>
            <w:vAlign w:val="bottom"/>
          </w:tcPr>
          <w:p w14:paraId="69462C21" w14:textId="77777777" w:rsidR="00CC479B" w:rsidRPr="00CC479B" w:rsidRDefault="00CC479B" w:rsidP="00CC479B">
            <w:pPr>
              <w:jc w:val="center"/>
              <w:rPr>
                <w:rFonts w:cs="Arial"/>
              </w:rPr>
            </w:pPr>
            <w:r w:rsidRPr="00CC479B">
              <w:rPr>
                <w:rFonts w:cs="Arial"/>
              </w:rPr>
              <w:t>76.33</w:t>
            </w:r>
          </w:p>
        </w:tc>
        <w:tc>
          <w:tcPr>
            <w:tcW w:w="810" w:type="dxa"/>
            <w:tcBorders>
              <w:top w:val="nil"/>
              <w:left w:val="nil"/>
              <w:bottom w:val="single" w:sz="4" w:space="0" w:color="auto"/>
              <w:right w:val="single" w:sz="4" w:space="0" w:color="auto"/>
            </w:tcBorders>
            <w:shd w:val="clear" w:color="auto" w:fill="auto"/>
            <w:vAlign w:val="bottom"/>
          </w:tcPr>
          <w:p w14:paraId="4417E5CC" w14:textId="77777777" w:rsidR="00CC479B" w:rsidRPr="00CC479B" w:rsidRDefault="00CC479B" w:rsidP="00CC479B">
            <w:pPr>
              <w:jc w:val="center"/>
              <w:rPr>
                <w:rFonts w:cs="Arial"/>
              </w:rPr>
            </w:pPr>
            <w:r w:rsidRPr="00CC479B">
              <w:rPr>
                <w:rFonts w:cs="Arial"/>
              </w:rPr>
              <w:t>36.89</w:t>
            </w:r>
          </w:p>
        </w:tc>
        <w:tc>
          <w:tcPr>
            <w:tcW w:w="810" w:type="dxa"/>
            <w:tcBorders>
              <w:top w:val="nil"/>
              <w:left w:val="nil"/>
              <w:bottom w:val="single" w:sz="4" w:space="0" w:color="auto"/>
              <w:right w:val="single" w:sz="4" w:space="0" w:color="auto"/>
            </w:tcBorders>
            <w:shd w:val="clear" w:color="auto" w:fill="auto"/>
            <w:vAlign w:val="bottom"/>
          </w:tcPr>
          <w:p w14:paraId="63D7ADF5" w14:textId="77777777" w:rsidR="00CC479B" w:rsidRPr="00CC479B" w:rsidRDefault="00CC479B" w:rsidP="00CC479B">
            <w:pPr>
              <w:jc w:val="center"/>
              <w:rPr>
                <w:rFonts w:cs="Arial"/>
                <w:color w:val="FF0000"/>
              </w:rPr>
            </w:pPr>
            <w:r w:rsidRPr="00CC479B">
              <w:rPr>
                <w:rFonts w:cs="Arial"/>
                <w:color w:val="FF0000"/>
              </w:rPr>
              <w:t>-51.7%</w:t>
            </w:r>
          </w:p>
        </w:tc>
        <w:tc>
          <w:tcPr>
            <w:tcW w:w="900" w:type="dxa"/>
            <w:tcBorders>
              <w:top w:val="nil"/>
              <w:left w:val="nil"/>
              <w:bottom w:val="single" w:sz="4" w:space="0" w:color="auto"/>
              <w:right w:val="single" w:sz="4" w:space="0" w:color="auto"/>
            </w:tcBorders>
            <w:shd w:val="clear" w:color="auto" w:fill="auto"/>
            <w:vAlign w:val="bottom"/>
          </w:tcPr>
          <w:p w14:paraId="64396A97" w14:textId="77777777" w:rsidR="00CC479B" w:rsidRPr="00CC479B" w:rsidRDefault="00CC479B" w:rsidP="00CC479B">
            <w:pPr>
              <w:jc w:val="center"/>
              <w:rPr>
                <w:rFonts w:cs="Arial"/>
              </w:rPr>
            </w:pPr>
            <w:r w:rsidRPr="00CC479B">
              <w:rPr>
                <w:rFonts w:cs="Arial"/>
              </w:rPr>
              <w:t>53.81</w:t>
            </w:r>
          </w:p>
        </w:tc>
        <w:tc>
          <w:tcPr>
            <w:tcW w:w="900" w:type="dxa"/>
            <w:tcBorders>
              <w:top w:val="nil"/>
              <w:left w:val="nil"/>
              <w:bottom w:val="single" w:sz="4" w:space="0" w:color="auto"/>
              <w:right w:val="single" w:sz="4" w:space="0" w:color="auto"/>
            </w:tcBorders>
            <w:shd w:val="clear" w:color="auto" w:fill="auto"/>
            <w:vAlign w:val="bottom"/>
          </w:tcPr>
          <w:p w14:paraId="09BB13DA" w14:textId="77777777" w:rsidR="00CC479B" w:rsidRPr="00CC479B" w:rsidRDefault="00CC479B" w:rsidP="00CC479B">
            <w:pPr>
              <w:jc w:val="center"/>
              <w:rPr>
                <w:rFonts w:cs="Arial"/>
              </w:rPr>
            </w:pPr>
            <w:r w:rsidRPr="00CC479B">
              <w:rPr>
                <w:rFonts w:cs="Arial"/>
              </w:rPr>
              <w:t>23.62</w:t>
            </w:r>
          </w:p>
        </w:tc>
        <w:tc>
          <w:tcPr>
            <w:tcW w:w="810" w:type="dxa"/>
            <w:tcBorders>
              <w:top w:val="nil"/>
              <w:left w:val="nil"/>
              <w:bottom w:val="single" w:sz="4" w:space="0" w:color="auto"/>
              <w:right w:val="single" w:sz="4" w:space="0" w:color="auto"/>
            </w:tcBorders>
            <w:shd w:val="clear" w:color="auto" w:fill="auto"/>
            <w:vAlign w:val="bottom"/>
          </w:tcPr>
          <w:p w14:paraId="68F5425F" w14:textId="77777777" w:rsidR="00CC479B" w:rsidRPr="00CC479B" w:rsidRDefault="00CC479B" w:rsidP="00CC479B">
            <w:pPr>
              <w:jc w:val="center"/>
              <w:rPr>
                <w:rFonts w:cs="Arial"/>
                <w:color w:val="FF0000"/>
              </w:rPr>
            </w:pPr>
            <w:r w:rsidRPr="00CC479B">
              <w:rPr>
                <w:rFonts w:cs="Arial"/>
                <w:color w:val="FF0000"/>
              </w:rPr>
              <w:t>-56.11%</w:t>
            </w:r>
          </w:p>
        </w:tc>
      </w:tr>
      <w:tr w:rsidR="00CC479B" w:rsidRPr="00CC479B" w14:paraId="1EAE7457" w14:textId="77777777" w:rsidTr="00E46E0E">
        <w:trPr>
          <w:cantSplit/>
          <w:trHeight w:val="23"/>
          <w:jc w:val="center"/>
        </w:trPr>
        <w:tc>
          <w:tcPr>
            <w:tcW w:w="554" w:type="dxa"/>
            <w:vMerge w:val="restart"/>
          </w:tcPr>
          <w:p w14:paraId="361209BC" w14:textId="77777777" w:rsidR="00CC479B" w:rsidRPr="00CC479B" w:rsidRDefault="00CC479B" w:rsidP="00CC479B">
            <w:pPr>
              <w:jc w:val="center"/>
              <w:rPr>
                <w:rFonts w:cs="Arial"/>
              </w:rPr>
            </w:pPr>
            <w:r w:rsidRPr="00CC479B">
              <w:rPr>
                <w:rFonts w:cs="Arial"/>
              </w:rPr>
              <w:t>UL</w:t>
            </w:r>
          </w:p>
          <w:p w14:paraId="6D0C2F09" w14:textId="77777777" w:rsidR="00CC479B" w:rsidRPr="00CC479B" w:rsidRDefault="00CC479B" w:rsidP="00CC479B">
            <w:pPr>
              <w:jc w:val="center"/>
              <w:rPr>
                <w:rFonts w:cs="Arial"/>
              </w:rPr>
            </w:pPr>
            <w:r w:rsidRPr="00CC479B">
              <w:rPr>
                <w:rFonts w:cs="Arial"/>
              </w:rPr>
              <w:t>UPT</w:t>
            </w:r>
          </w:p>
          <w:p w14:paraId="07755FE3" w14:textId="77777777" w:rsidR="00CC479B" w:rsidRPr="00CC479B" w:rsidRDefault="00CC479B" w:rsidP="00CC479B">
            <w:pPr>
              <w:jc w:val="center"/>
              <w:rPr>
                <w:rFonts w:cs="Arial"/>
              </w:rPr>
            </w:pPr>
            <w:r w:rsidRPr="00CC479B">
              <w:rPr>
                <w:rFonts w:cs="Arial"/>
              </w:rPr>
              <w:t>[Mbps]</w:t>
            </w:r>
          </w:p>
        </w:tc>
        <w:tc>
          <w:tcPr>
            <w:tcW w:w="458" w:type="dxa"/>
          </w:tcPr>
          <w:p w14:paraId="3CEC456E"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4F306F1E" w14:textId="77777777" w:rsidR="00CC479B" w:rsidRPr="00CC479B" w:rsidRDefault="00CC479B" w:rsidP="00CC479B">
            <w:pPr>
              <w:jc w:val="center"/>
              <w:rPr>
                <w:rFonts w:cs="Arial"/>
                <w:color w:val="000000"/>
              </w:rPr>
            </w:pPr>
            <w:r w:rsidRPr="00CC479B">
              <w:rPr>
                <w:rFonts w:cs="Arial"/>
                <w:color w:val="000000"/>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1023A9CB" w14:textId="77777777" w:rsidR="00CC479B" w:rsidRPr="00CC479B" w:rsidRDefault="00CC479B" w:rsidP="00CC479B">
            <w:pPr>
              <w:jc w:val="center"/>
              <w:rPr>
                <w:rFonts w:cs="Arial"/>
                <w:color w:val="000000"/>
              </w:rPr>
            </w:pPr>
            <w:r w:rsidRPr="00CC479B">
              <w:rPr>
                <w:rFonts w:cs="Arial"/>
                <w:color w:val="000000"/>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586B2" w14:textId="77777777" w:rsidR="00CC479B" w:rsidRPr="00CC479B" w:rsidRDefault="00CC479B" w:rsidP="00CC479B">
            <w:pPr>
              <w:jc w:val="center"/>
              <w:rPr>
                <w:rFonts w:cs="Arial"/>
                <w:color w:val="FF0000"/>
              </w:rPr>
            </w:pPr>
            <w:r w:rsidRPr="00CC479B">
              <w:rPr>
                <w:rFonts w:cs="Arial"/>
                <w:color w:val="FF0000"/>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7D2C1C" w14:textId="77777777" w:rsidR="00CC479B" w:rsidRPr="00CC479B" w:rsidRDefault="00CC479B" w:rsidP="00CC479B">
            <w:pPr>
              <w:jc w:val="center"/>
              <w:rPr>
                <w:rFonts w:cs="Arial"/>
                <w:color w:val="000000"/>
              </w:rPr>
            </w:pPr>
            <w:r w:rsidRPr="00CC479B">
              <w:rPr>
                <w:rFonts w:cs="Arial"/>
                <w:color w:val="000000"/>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18121906" w14:textId="77777777" w:rsidR="00CC479B" w:rsidRPr="00CC479B" w:rsidRDefault="00CC479B" w:rsidP="00CC479B">
            <w:pPr>
              <w:jc w:val="center"/>
              <w:rPr>
                <w:rFonts w:cs="Arial"/>
                <w:color w:val="000000"/>
              </w:rPr>
            </w:pPr>
            <w:r w:rsidRPr="00CC479B">
              <w:rPr>
                <w:rFonts w:cs="Arial"/>
                <w:color w:val="000000"/>
              </w:rPr>
              <w:t>18.61</w:t>
            </w:r>
          </w:p>
        </w:tc>
        <w:tc>
          <w:tcPr>
            <w:tcW w:w="810" w:type="dxa"/>
            <w:tcBorders>
              <w:top w:val="single" w:sz="4" w:space="0" w:color="auto"/>
              <w:left w:val="nil"/>
              <w:bottom w:val="single" w:sz="4" w:space="0" w:color="auto"/>
              <w:right w:val="single" w:sz="4" w:space="0" w:color="auto"/>
            </w:tcBorders>
            <w:shd w:val="clear" w:color="auto" w:fill="auto"/>
            <w:vAlign w:val="bottom"/>
          </w:tcPr>
          <w:p w14:paraId="0956AF8F" w14:textId="77777777" w:rsidR="00CC479B" w:rsidRPr="00CC479B" w:rsidRDefault="00CC479B" w:rsidP="00CC479B">
            <w:pPr>
              <w:jc w:val="center"/>
              <w:rPr>
                <w:rFonts w:cs="Arial"/>
                <w:color w:val="FF0000"/>
              </w:rPr>
            </w:pPr>
            <w:r w:rsidRPr="00CC479B">
              <w:rPr>
                <w:rFonts w:cs="Arial"/>
                <w:color w:val="FF0000"/>
              </w:rPr>
              <w:t>-45.44%</w:t>
            </w:r>
          </w:p>
        </w:tc>
        <w:tc>
          <w:tcPr>
            <w:tcW w:w="630" w:type="dxa"/>
            <w:tcBorders>
              <w:top w:val="single" w:sz="4" w:space="0" w:color="auto"/>
              <w:left w:val="nil"/>
              <w:bottom w:val="single" w:sz="4" w:space="0" w:color="auto"/>
              <w:right w:val="single" w:sz="4" w:space="0" w:color="auto"/>
            </w:tcBorders>
            <w:shd w:val="clear" w:color="auto" w:fill="auto"/>
            <w:vAlign w:val="bottom"/>
          </w:tcPr>
          <w:p w14:paraId="5D99B326" w14:textId="77777777" w:rsidR="00CC479B" w:rsidRPr="00CC479B" w:rsidRDefault="00CC479B" w:rsidP="00CC479B">
            <w:pPr>
              <w:jc w:val="center"/>
              <w:rPr>
                <w:rFonts w:cs="Arial"/>
                <w:color w:val="000000"/>
              </w:rPr>
            </w:pPr>
            <w:r w:rsidRPr="00CC479B">
              <w:rPr>
                <w:rFonts w:cs="Arial"/>
                <w:color w:val="000000"/>
              </w:rPr>
              <w:t>6.04</w:t>
            </w:r>
          </w:p>
        </w:tc>
        <w:tc>
          <w:tcPr>
            <w:tcW w:w="810" w:type="dxa"/>
            <w:tcBorders>
              <w:top w:val="single" w:sz="4" w:space="0" w:color="auto"/>
              <w:left w:val="nil"/>
              <w:bottom w:val="single" w:sz="4" w:space="0" w:color="auto"/>
              <w:right w:val="single" w:sz="4" w:space="0" w:color="auto"/>
            </w:tcBorders>
            <w:shd w:val="clear" w:color="auto" w:fill="auto"/>
            <w:vAlign w:val="bottom"/>
          </w:tcPr>
          <w:p w14:paraId="6C7AAD77" w14:textId="77777777" w:rsidR="00CC479B" w:rsidRPr="00CC479B" w:rsidRDefault="00CC479B" w:rsidP="00CC479B">
            <w:pPr>
              <w:jc w:val="center"/>
              <w:rPr>
                <w:rFonts w:cs="Arial"/>
                <w:color w:val="000000"/>
              </w:rPr>
            </w:pPr>
            <w:r w:rsidRPr="00CC479B">
              <w:rPr>
                <w:rFonts w:cs="Arial"/>
                <w:color w:val="000000"/>
              </w:rPr>
              <w:t>3.36</w:t>
            </w:r>
          </w:p>
        </w:tc>
        <w:tc>
          <w:tcPr>
            <w:tcW w:w="810" w:type="dxa"/>
            <w:tcBorders>
              <w:top w:val="single" w:sz="4" w:space="0" w:color="auto"/>
              <w:left w:val="nil"/>
              <w:bottom w:val="single" w:sz="4" w:space="0" w:color="auto"/>
              <w:right w:val="single" w:sz="4" w:space="0" w:color="auto"/>
            </w:tcBorders>
            <w:shd w:val="clear" w:color="auto" w:fill="auto"/>
            <w:vAlign w:val="bottom"/>
          </w:tcPr>
          <w:p w14:paraId="395DA751" w14:textId="77777777" w:rsidR="00CC479B" w:rsidRPr="00CC479B" w:rsidRDefault="00CC479B" w:rsidP="00CC479B">
            <w:pPr>
              <w:jc w:val="center"/>
              <w:rPr>
                <w:rFonts w:cs="Arial"/>
                <w:color w:val="FF0000"/>
              </w:rPr>
            </w:pPr>
            <w:r w:rsidRPr="00CC479B">
              <w:rPr>
                <w:rFonts w:cs="Arial"/>
                <w:color w:val="FF0000"/>
              </w:rPr>
              <w:t>-44.3%</w:t>
            </w:r>
          </w:p>
        </w:tc>
        <w:tc>
          <w:tcPr>
            <w:tcW w:w="900" w:type="dxa"/>
            <w:tcBorders>
              <w:top w:val="single" w:sz="4" w:space="0" w:color="auto"/>
              <w:left w:val="nil"/>
              <w:bottom w:val="single" w:sz="4" w:space="0" w:color="auto"/>
              <w:right w:val="single" w:sz="4" w:space="0" w:color="auto"/>
            </w:tcBorders>
            <w:shd w:val="clear" w:color="auto" w:fill="auto"/>
            <w:vAlign w:val="bottom"/>
          </w:tcPr>
          <w:p w14:paraId="58E89648" w14:textId="77777777" w:rsidR="00CC479B" w:rsidRPr="00CC479B" w:rsidRDefault="00CC479B" w:rsidP="00CC479B">
            <w:pPr>
              <w:jc w:val="center"/>
              <w:rPr>
                <w:rFonts w:cs="Arial"/>
                <w:color w:val="000000"/>
              </w:rPr>
            </w:pPr>
            <w:r w:rsidRPr="00CC479B">
              <w:rPr>
                <w:rFonts w:cs="Arial"/>
                <w:color w:val="000000"/>
              </w:rPr>
              <w:t>16.45</w:t>
            </w:r>
          </w:p>
        </w:tc>
        <w:tc>
          <w:tcPr>
            <w:tcW w:w="900" w:type="dxa"/>
            <w:tcBorders>
              <w:top w:val="single" w:sz="4" w:space="0" w:color="auto"/>
              <w:left w:val="nil"/>
              <w:bottom w:val="single" w:sz="4" w:space="0" w:color="auto"/>
              <w:right w:val="single" w:sz="4" w:space="0" w:color="auto"/>
            </w:tcBorders>
            <w:shd w:val="clear" w:color="auto" w:fill="auto"/>
            <w:vAlign w:val="bottom"/>
          </w:tcPr>
          <w:p w14:paraId="6DDA2969" w14:textId="77777777" w:rsidR="00CC479B" w:rsidRPr="00CC479B" w:rsidRDefault="00CC479B" w:rsidP="00CC479B">
            <w:pPr>
              <w:jc w:val="center"/>
              <w:rPr>
                <w:rFonts w:cs="Arial"/>
                <w:color w:val="000000"/>
              </w:rPr>
            </w:pPr>
            <w:r w:rsidRPr="00CC479B">
              <w:rPr>
                <w:rFonts w:cs="Arial"/>
                <w:color w:val="000000"/>
              </w:rPr>
              <w:t>2.24</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39881" w14:textId="77777777" w:rsidR="00CC479B" w:rsidRPr="00CC479B" w:rsidRDefault="00CC479B" w:rsidP="00CC479B">
            <w:pPr>
              <w:jc w:val="center"/>
              <w:rPr>
                <w:rFonts w:cs="Arial"/>
                <w:color w:val="FF0000"/>
              </w:rPr>
            </w:pPr>
            <w:r w:rsidRPr="00CC479B">
              <w:rPr>
                <w:rFonts w:cs="Arial"/>
                <w:color w:val="FF0000"/>
              </w:rPr>
              <w:t>-86.40%</w:t>
            </w:r>
          </w:p>
        </w:tc>
      </w:tr>
      <w:tr w:rsidR="00CC479B" w:rsidRPr="00CC479B" w14:paraId="6B950CE1" w14:textId="77777777" w:rsidTr="00E46E0E">
        <w:trPr>
          <w:cantSplit/>
          <w:trHeight w:val="23"/>
          <w:jc w:val="center"/>
        </w:trPr>
        <w:tc>
          <w:tcPr>
            <w:tcW w:w="554" w:type="dxa"/>
            <w:vMerge/>
          </w:tcPr>
          <w:p w14:paraId="25B20187" w14:textId="77777777" w:rsidR="00CC479B" w:rsidRPr="00CC479B" w:rsidRDefault="00CC479B" w:rsidP="00CC479B">
            <w:pPr>
              <w:jc w:val="center"/>
              <w:rPr>
                <w:rFonts w:cs="Arial"/>
              </w:rPr>
            </w:pPr>
          </w:p>
        </w:tc>
        <w:tc>
          <w:tcPr>
            <w:tcW w:w="458" w:type="dxa"/>
          </w:tcPr>
          <w:p w14:paraId="38F15C4E"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1E6EE206" w14:textId="77777777" w:rsidR="00CC479B" w:rsidRPr="00CC479B" w:rsidRDefault="00CC479B" w:rsidP="00CC479B">
            <w:pPr>
              <w:jc w:val="center"/>
              <w:rPr>
                <w:rFonts w:cs="Arial"/>
                <w:color w:val="000000"/>
              </w:rPr>
            </w:pPr>
            <w:r w:rsidRPr="00CC479B">
              <w:rPr>
                <w:rFonts w:cs="Arial"/>
                <w:color w:val="000000"/>
              </w:rPr>
              <w:t>60.67</w:t>
            </w:r>
          </w:p>
        </w:tc>
        <w:tc>
          <w:tcPr>
            <w:tcW w:w="990" w:type="dxa"/>
            <w:tcBorders>
              <w:top w:val="nil"/>
              <w:left w:val="nil"/>
              <w:bottom w:val="single" w:sz="4" w:space="0" w:color="auto"/>
              <w:right w:val="single" w:sz="4" w:space="0" w:color="auto"/>
            </w:tcBorders>
            <w:shd w:val="clear" w:color="auto" w:fill="auto"/>
            <w:vAlign w:val="bottom"/>
          </w:tcPr>
          <w:p w14:paraId="1EE1B0CF" w14:textId="77777777" w:rsidR="00CC479B" w:rsidRPr="00CC479B" w:rsidRDefault="00CC479B" w:rsidP="00CC479B">
            <w:pPr>
              <w:jc w:val="center"/>
              <w:rPr>
                <w:rFonts w:cs="Arial"/>
                <w:color w:val="000000"/>
              </w:rPr>
            </w:pPr>
            <w:r w:rsidRPr="00CC479B">
              <w:rPr>
                <w:rFonts w:cs="Arial"/>
                <w:color w:val="000000"/>
              </w:rPr>
              <w:t>50.39</w:t>
            </w:r>
          </w:p>
        </w:tc>
        <w:tc>
          <w:tcPr>
            <w:tcW w:w="720" w:type="dxa"/>
            <w:tcBorders>
              <w:top w:val="nil"/>
              <w:left w:val="nil"/>
              <w:bottom w:val="single" w:sz="4" w:space="0" w:color="auto"/>
              <w:right w:val="single" w:sz="4" w:space="0" w:color="auto"/>
            </w:tcBorders>
            <w:shd w:val="clear" w:color="auto" w:fill="auto"/>
            <w:vAlign w:val="bottom"/>
          </w:tcPr>
          <w:p w14:paraId="5348CA9E" w14:textId="77777777" w:rsidR="00CC479B" w:rsidRPr="00CC479B" w:rsidRDefault="00CC479B" w:rsidP="00CC479B">
            <w:pPr>
              <w:jc w:val="center"/>
              <w:rPr>
                <w:rFonts w:cs="Arial"/>
                <w:color w:val="FF0000"/>
              </w:rPr>
            </w:pPr>
            <w:r w:rsidRPr="00CC479B">
              <w:rPr>
                <w:rFonts w:cs="Arial"/>
                <w:color w:val="FF0000"/>
              </w:rPr>
              <w:t>-16.95%</w:t>
            </w:r>
          </w:p>
        </w:tc>
        <w:tc>
          <w:tcPr>
            <w:tcW w:w="720" w:type="dxa"/>
            <w:tcBorders>
              <w:top w:val="nil"/>
              <w:left w:val="nil"/>
              <w:bottom w:val="single" w:sz="4" w:space="0" w:color="auto"/>
              <w:right w:val="single" w:sz="4" w:space="0" w:color="auto"/>
            </w:tcBorders>
            <w:shd w:val="clear" w:color="auto" w:fill="auto"/>
            <w:vAlign w:val="bottom"/>
          </w:tcPr>
          <w:p w14:paraId="2A91EBF0" w14:textId="77777777" w:rsidR="00CC479B" w:rsidRPr="00CC479B" w:rsidRDefault="00CC479B" w:rsidP="00CC479B">
            <w:pPr>
              <w:jc w:val="center"/>
              <w:rPr>
                <w:rFonts w:cs="Arial"/>
                <w:color w:val="000000"/>
              </w:rPr>
            </w:pPr>
            <w:r w:rsidRPr="00CC479B">
              <w:rPr>
                <w:rFonts w:cs="Arial"/>
                <w:color w:val="000000"/>
              </w:rPr>
              <w:t>67.53</w:t>
            </w:r>
          </w:p>
        </w:tc>
        <w:tc>
          <w:tcPr>
            <w:tcW w:w="1170" w:type="dxa"/>
            <w:tcBorders>
              <w:top w:val="nil"/>
              <w:left w:val="nil"/>
              <w:bottom w:val="single" w:sz="4" w:space="0" w:color="auto"/>
              <w:right w:val="single" w:sz="4" w:space="0" w:color="auto"/>
            </w:tcBorders>
            <w:shd w:val="clear" w:color="auto" w:fill="auto"/>
            <w:vAlign w:val="bottom"/>
          </w:tcPr>
          <w:p w14:paraId="3B15162D" w14:textId="77777777" w:rsidR="00CC479B" w:rsidRPr="00CC479B" w:rsidRDefault="00CC479B" w:rsidP="00CC479B">
            <w:pPr>
              <w:jc w:val="center"/>
              <w:rPr>
                <w:rFonts w:cs="Arial"/>
                <w:color w:val="000000"/>
              </w:rPr>
            </w:pPr>
            <w:r w:rsidRPr="00CC479B">
              <w:rPr>
                <w:rFonts w:cs="Arial"/>
                <w:color w:val="000000"/>
              </w:rPr>
              <w:t>62.88</w:t>
            </w:r>
          </w:p>
        </w:tc>
        <w:tc>
          <w:tcPr>
            <w:tcW w:w="810" w:type="dxa"/>
            <w:tcBorders>
              <w:top w:val="nil"/>
              <w:left w:val="nil"/>
              <w:bottom w:val="single" w:sz="4" w:space="0" w:color="auto"/>
              <w:right w:val="single" w:sz="4" w:space="0" w:color="auto"/>
            </w:tcBorders>
            <w:shd w:val="clear" w:color="auto" w:fill="auto"/>
            <w:vAlign w:val="bottom"/>
          </w:tcPr>
          <w:p w14:paraId="33009AD5" w14:textId="77777777" w:rsidR="00CC479B" w:rsidRPr="00CC479B" w:rsidRDefault="00CC479B" w:rsidP="00CC479B">
            <w:pPr>
              <w:jc w:val="center"/>
              <w:rPr>
                <w:rFonts w:cs="Arial"/>
                <w:color w:val="FF0000"/>
              </w:rPr>
            </w:pPr>
            <w:r w:rsidRPr="00CC479B">
              <w:rPr>
                <w:rFonts w:cs="Arial"/>
                <w:color w:val="FF0000"/>
              </w:rPr>
              <w:t>-6.90%</w:t>
            </w:r>
          </w:p>
        </w:tc>
        <w:tc>
          <w:tcPr>
            <w:tcW w:w="630" w:type="dxa"/>
            <w:tcBorders>
              <w:top w:val="nil"/>
              <w:left w:val="nil"/>
              <w:bottom w:val="single" w:sz="4" w:space="0" w:color="auto"/>
              <w:right w:val="single" w:sz="4" w:space="0" w:color="auto"/>
            </w:tcBorders>
            <w:shd w:val="clear" w:color="auto" w:fill="auto"/>
            <w:vAlign w:val="bottom"/>
          </w:tcPr>
          <w:p w14:paraId="3940B918" w14:textId="77777777" w:rsidR="00CC479B" w:rsidRPr="00CC479B" w:rsidRDefault="00CC479B" w:rsidP="00CC479B">
            <w:pPr>
              <w:jc w:val="center"/>
              <w:rPr>
                <w:rFonts w:cs="Arial"/>
                <w:color w:val="000000"/>
              </w:rPr>
            </w:pPr>
            <w:r w:rsidRPr="00CC479B">
              <w:rPr>
                <w:rFonts w:cs="Arial"/>
                <w:color w:val="000000"/>
              </w:rPr>
              <w:t>43.07</w:t>
            </w:r>
          </w:p>
        </w:tc>
        <w:tc>
          <w:tcPr>
            <w:tcW w:w="810" w:type="dxa"/>
            <w:tcBorders>
              <w:top w:val="nil"/>
              <w:left w:val="nil"/>
              <w:bottom w:val="single" w:sz="4" w:space="0" w:color="auto"/>
              <w:right w:val="single" w:sz="4" w:space="0" w:color="auto"/>
            </w:tcBorders>
            <w:shd w:val="clear" w:color="auto" w:fill="auto"/>
            <w:vAlign w:val="bottom"/>
          </w:tcPr>
          <w:p w14:paraId="03098DC9" w14:textId="77777777" w:rsidR="00CC479B" w:rsidRPr="00CC479B" w:rsidRDefault="00CC479B" w:rsidP="00CC479B">
            <w:pPr>
              <w:jc w:val="center"/>
              <w:rPr>
                <w:rFonts w:cs="Arial"/>
                <w:color w:val="000000"/>
              </w:rPr>
            </w:pPr>
            <w:r w:rsidRPr="00CC479B">
              <w:rPr>
                <w:rFonts w:cs="Arial"/>
                <w:color w:val="000000"/>
              </w:rPr>
              <w:t>35.61</w:t>
            </w:r>
          </w:p>
        </w:tc>
        <w:tc>
          <w:tcPr>
            <w:tcW w:w="810" w:type="dxa"/>
            <w:tcBorders>
              <w:top w:val="nil"/>
              <w:left w:val="nil"/>
              <w:bottom w:val="single" w:sz="4" w:space="0" w:color="auto"/>
              <w:right w:val="single" w:sz="4" w:space="0" w:color="auto"/>
            </w:tcBorders>
            <w:shd w:val="clear" w:color="auto" w:fill="auto"/>
            <w:vAlign w:val="bottom"/>
          </w:tcPr>
          <w:p w14:paraId="2091171D" w14:textId="77777777" w:rsidR="00CC479B" w:rsidRPr="00CC479B" w:rsidRDefault="00CC479B" w:rsidP="00CC479B">
            <w:pPr>
              <w:jc w:val="center"/>
              <w:rPr>
                <w:rFonts w:cs="Arial"/>
                <w:color w:val="FF0000"/>
              </w:rPr>
            </w:pPr>
            <w:r w:rsidRPr="00CC479B">
              <w:rPr>
                <w:rFonts w:cs="Arial"/>
                <w:color w:val="FF0000"/>
              </w:rPr>
              <w:t>-17.33%</w:t>
            </w:r>
          </w:p>
        </w:tc>
        <w:tc>
          <w:tcPr>
            <w:tcW w:w="900" w:type="dxa"/>
            <w:tcBorders>
              <w:top w:val="nil"/>
              <w:left w:val="nil"/>
              <w:bottom w:val="single" w:sz="4" w:space="0" w:color="auto"/>
              <w:right w:val="single" w:sz="4" w:space="0" w:color="auto"/>
            </w:tcBorders>
            <w:shd w:val="clear" w:color="auto" w:fill="auto"/>
            <w:vAlign w:val="bottom"/>
          </w:tcPr>
          <w:p w14:paraId="793064C3" w14:textId="77777777" w:rsidR="00CC479B" w:rsidRPr="00CC479B" w:rsidRDefault="00CC479B" w:rsidP="00CC479B">
            <w:pPr>
              <w:jc w:val="center"/>
              <w:rPr>
                <w:rFonts w:cs="Arial"/>
                <w:color w:val="000000"/>
              </w:rPr>
            </w:pPr>
            <w:r w:rsidRPr="00CC479B">
              <w:rPr>
                <w:rFonts w:cs="Arial"/>
                <w:color w:val="000000"/>
              </w:rPr>
              <w:t>55.39</w:t>
            </w:r>
          </w:p>
        </w:tc>
        <w:tc>
          <w:tcPr>
            <w:tcW w:w="900" w:type="dxa"/>
            <w:tcBorders>
              <w:top w:val="nil"/>
              <w:left w:val="nil"/>
              <w:bottom w:val="single" w:sz="4" w:space="0" w:color="auto"/>
              <w:right w:val="single" w:sz="4" w:space="0" w:color="auto"/>
            </w:tcBorders>
            <w:shd w:val="clear" w:color="auto" w:fill="auto"/>
            <w:vAlign w:val="bottom"/>
          </w:tcPr>
          <w:p w14:paraId="50968AA5" w14:textId="77777777" w:rsidR="00CC479B" w:rsidRPr="00CC479B" w:rsidRDefault="00CC479B" w:rsidP="00CC479B">
            <w:pPr>
              <w:jc w:val="center"/>
              <w:rPr>
                <w:rFonts w:cs="Arial"/>
                <w:color w:val="000000"/>
              </w:rPr>
            </w:pPr>
            <w:r w:rsidRPr="00CC479B">
              <w:rPr>
                <w:rFonts w:cs="Arial"/>
                <w:color w:val="000000"/>
              </w:rPr>
              <w:t>25.42</w:t>
            </w:r>
          </w:p>
        </w:tc>
        <w:tc>
          <w:tcPr>
            <w:tcW w:w="810" w:type="dxa"/>
            <w:tcBorders>
              <w:top w:val="nil"/>
              <w:left w:val="nil"/>
              <w:bottom w:val="single" w:sz="4" w:space="0" w:color="auto"/>
              <w:right w:val="single" w:sz="4" w:space="0" w:color="auto"/>
            </w:tcBorders>
            <w:shd w:val="clear" w:color="auto" w:fill="auto"/>
            <w:vAlign w:val="bottom"/>
          </w:tcPr>
          <w:p w14:paraId="3A51B4E2" w14:textId="77777777" w:rsidR="00CC479B" w:rsidRPr="00CC479B" w:rsidRDefault="00CC479B" w:rsidP="00CC479B">
            <w:pPr>
              <w:jc w:val="center"/>
              <w:rPr>
                <w:rFonts w:cs="Arial"/>
                <w:color w:val="FF0000"/>
              </w:rPr>
            </w:pPr>
            <w:r w:rsidRPr="00CC479B">
              <w:rPr>
                <w:rFonts w:cs="Arial"/>
                <w:color w:val="FF0000"/>
              </w:rPr>
              <w:t>-54.11%</w:t>
            </w:r>
          </w:p>
        </w:tc>
      </w:tr>
      <w:tr w:rsidR="00CC479B" w:rsidRPr="00CC479B" w14:paraId="54EA4E6D" w14:textId="77777777" w:rsidTr="00E46E0E">
        <w:trPr>
          <w:cantSplit/>
          <w:trHeight w:val="23"/>
          <w:jc w:val="center"/>
        </w:trPr>
        <w:tc>
          <w:tcPr>
            <w:tcW w:w="1012" w:type="dxa"/>
            <w:gridSpan w:val="2"/>
          </w:tcPr>
          <w:p w14:paraId="501BF837" w14:textId="77777777" w:rsidR="00CC479B" w:rsidRPr="00CC479B" w:rsidRDefault="00CC479B" w:rsidP="00CC479B">
            <w:pPr>
              <w:jc w:val="center"/>
              <w:rPr>
                <w:rFonts w:cs="Arial"/>
              </w:rPr>
            </w:pPr>
            <w:r w:rsidRPr="00CC479B">
              <w:rPr>
                <w:rFonts w:cs="Arial"/>
              </w:rPr>
              <w:t>RU</w:t>
            </w:r>
          </w:p>
        </w:tc>
        <w:tc>
          <w:tcPr>
            <w:tcW w:w="872" w:type="dxa"/>
          </w:tcPr>
          <w:p w14:paraId="5C0E4626" w14:textId="77777777" w:rsidR="00CC479B" w:rsidRPr="00CC479B" w:rsidRDefault="00CC479B" w:rsidP="00CC479B">
            <w:pPr>
              <w:jc w:val="center"/>
              <w:rPr>
                <w:rFonts w:cs="Arial"/>
                <w:color w:val="000000"/>
              </w:rPr>
            </w:pPr>
            <w:r w:rsidRPr="00CC479B">
              <w:rPr>
                <w:rFonts w:cs="Arial"/>
                <w:color w:val="000000"/>
              </w:rPr>
              <w:t>15.6</w:t>
            </w:r>
          </w:p>
        </w:tc>
        <w:tc>
          <w:tcPr>
            <w:tcW w:w="990" w:type="dxa"/>
          </w:tcPr>
          <w:p w14:paraId="2AA5F66C" w14:textId="77777777" w:rsidR="00CC479B" w:rsidRPr="00CC479B" w:rsidRDefault="00CC479B" w:rsidP="00CC479B">
            <w:pPr>
              <w:jc w:val="center"/>
              <w:rPr>
                <w:rFonts w:cs="Arial"/>
                <w:color w:val="000000"/>
              </w:rPr>
            </w:pPr>
            <w:r w:rsidRPr="00CC479B">
              <w:rPr>
                <w:rFonts w:cs="Arial"/>
                <w:color w:val="000000"/>
              </w:rPr>
              <w:t>23.7</w:t>
            </w:r>
          </w:p>
        </w:tc>
        <w:tc>
          <w:tcPr>
            <w:tcW w:w="720" w:type="dxa"/>
          </w:tcPr>
          <w:p w14:paraId="3BEB662D" w14:textId="77777777" w:rsidR="00CC479B" w:rsidRPr="00CC479B" w:rsidRDefault="00CC479B" w:rsidP="00CC479B">
            <w:pPr>
              <w:jc w:val="center"/>
              <w:rPr>
                <w:rFonts w:cs="Arial"/>
                <w:color w:val="000000"/>
              </w:rPr>
            </w:pPr>
            <w:r w:rsidRPr="00CC479B">
              <w:rPr>
                <w:rFonts w:cs="Arial"/>
                <w:color w:val="000000"/>
              </w:rPr>
              <w:t>-</w:t>
            </w:r>
          </w:p>
        </w:tc>
        <w:tc>
          <w:tcPr>
            <w:tcW w:w="720" w:type="dxa"/>
          </w:tcPr>
          <w:p w14:paraId="50BB9720" w14:textId="77777777" w:rsidR="00CC479B" w:rsidRPr="00CC479B" w:rsidRDefault="00CC479B" w:rsidP="00CC479B">
            <w:pPr>
              <w:jc w:val="center"/>
              <w:rPr>
                <w:rFonts w:cs="Arial"/>
                <w:color w:val="000000"/>
              </w:rPr>
            </w:pPr>
            <w:r w:rsidRPr="00CC479B">
              <w:rPr>
                <w:rFonts w:cs="Arial"/>
                <w:color w:val="000000"/>
              </w:rPr>
              <w:t>11.1</w:t>
            </w:r>
          </w:p>
        </w:tc>
        <w:tc>
          <w:tcPr>
            <w:tcW w:w="1170" w:type="dxa"/>
          </w:tcPr>
          <w:p w14:paraId="47A18B1B" w14:textId="77777777" w:rsidR="00CC479B" w:rsidRPr="00CC479B" w:rsidRDefault="00CC479B" w:rsidP="00CC479B">
            <w:pPr>
              <w:jc w:val="center"/>
              <w:rPr>
                <w:rFonts w:cs="Arial"/>
                <w:color w:val="000000"/>
              </w:rPr>
            </w:pPr>
            <w:r w:rsidRPr="00CC479B">
              <w:rPr>
                <w:rFonts w:cs="Arial"/>
                <w:color w:val="000000"/>
              </w:rPr>
              <w:t>13.1</w:t>
            </w:r>
          </w:p>
        </w:tc>
        <w:tc>
          <w:tcPr>
            <w:tcW w:w="810" w:type="dxa"/>
          </w:tcPr>
          <w:p w14:paraId="1B62548A" w14:textId="77777777" w:rsidR="00CC479B" w:rsidRPr="00CC479B" w:rsidRDefault="00CC479B" w:rsidP="00CC479B">
            <w:pPr>
              <w:jc w:val="center"/>
              <w:rPr>
                <w:rFonts w:cs="Arial"/>
                <w:color w:val="000000"/>
              </w:rPr>
            </w:pPr>
            <w:r w:rsidRPr="00CC479B">
              <w:rPr>
                <w:rFonts w:cs="Arial"/>
                <w:color w:val="000000"/>
              </w:rPr>
              <w:t>-</w:t>
            </w:r>
          </w:p>
        </w:tc>
        <w:tc>
          <w:tcPr>
            <w:tcW w:w="630" w:type="dxa"/>
          </w:tcPr>
          <w:p w14:paraId="265201C9" w14:textId="77777777" w:rsidR="00CC479B" w:rsidRPr="00CC479B" w:rsidRDefault="00CC479B" w:rsidP="00CC479B">
            <w:pPr>
              <w:jc w:val="center"/>
              <w:rPr>
                <w:rFonts w:cs="Arial"/>
                <w:color w:val="000000"/>
              </w:rPr>
            </w:pPr>
            <w:r w:rsidRPr="00CC479B">
              <w:rPr>
                <w:rFonts w:cs="Arial"/>
                <w:color w:val="000000"/>
              </w:rPr>
              <w:t>29.6</w:t>
            </w:r>
          </w:p>
        </w:tc>
        <w:tc>
          <w:tcPr>
            <w:tcW w:w="810" w:type="dxa"/>
          </w:tcPr>
          <w:p w14:paraId="331B32B8" w14:textId="77777777" w:rsidR="00CC479B" w:rsidRPr="00CC479B" w:rsidRDefault="00CC479B" w:rsidP="00CC479B">
            <w:pPr>
              <w:jc w:val="center"/>
              <w:rPr>
                <w:rFonts w:cs="Arial"/>
                <w:color w:val="000000"/>
              </w:rPr>
            </w:pPr>
            <w:r w:rsidRPr="00CC479B">
              <w:rPr>
                <w:rFonts w:cs="Arial"/>
                <w:color w:val="000000"/>
              </w:rPr>
              <w:t>59.3</w:t>
            </w:r>
          </w:p>
        </w:tc>
        <w:tc>
          <w:tcPr>
            <w:tcW w:w="810" w:type="dxa"/>
          </w:tcPr>
          <w:p w14:paraId="35758740" w14:textId="77777777" w:rsidR="00CC479B" w:rsidRPr="00CC479B" w:rsidRDefault="00CC479B" w:rsidP="00CC479B">
            <w:pPr>
              <w:jc w:val="center"/>
              <w:rPr>
                <w:rFonts w:cs="Arial"/>
                <w:color w:val="000000"/>
              </w:rPr>
            </w:pPr>
            <w:r w:rsidRPr="00CC479B">
              <w:rPr>
                <w:rFonts w:cs="Arial"/>
                <w:color w:val="000000"/>
              </w:rPr>
              <w:t>-</w:t>
            </w:r>
          </w:p>
        </w:tc>
        <w:tc>
          <w:tcPr>
            <w:tcW w:w="900" w:type="dxa"/>
          </w:tcPr>
          <w:p w14:paraId="78D263E2" w14:textId="77777777" w:rsidR="00CC479B" w:rsidRPr="00CC479B" w:rsidRDefault="00CC479B" w:rsidP="00CC479B">
            <w:pPr>
              <w:jc w:val="center"/>
              <w:rPr>
                <w:rFonts w:cs="Arial"/>
                <w:color w:val="000000"/>
              </w:rPr>
            </w:pPr>
            <w:r w:rsidRPr="00CC479B">
              <w:rPr>
                <w:rFonts w:cs="Arial"/>
                <w:color w:val="000000"/>
              </w:rPr>
              <w:t>32.10</w:t>
            </w:r>
          </w:p>
        </w:tc>
        <w:tc>
          <w:tcPr>
            <w:tcW w:w="900" w:type="dxa"/>
          </w:tcPr>
          <w:p w14:paraId="3A4ED9CD" w14:textId="77777777" w:rsidR="00CC479B" w:rsidRPr="00CC479B" w:rsidRDefault="00CC479B" w:rsidP="00CC479B">
            <w:pPr>
              <w:jc w:val="center"/>
              <w:rPr>
                <w:rFonts w:cs="Arial"/>
                <w:color w:val="000000"/>
              </w:rPr>
            </w:pPr>
            <w:r w:rsidRPr="00CC479B">
              <w:rPr>
                <w:rFonts w:cs="Arial"/>
                <w:color w:val="000000"/>
              </w:rPr>
              <w:t>75.4</w:t>
            </w:r>
          </w:p>
        </w:tc>
        <w:tc>
          <w:tcPr>
            <w:tcW w:w="810" w:type="dxa"/>
          </w:tcPr>
          <w:p w14:paraId="7E065B52" w14:textId="77777777" w:rsidR="00CC479B" w:rsidRPr="00CC479B" w:rsidRDefault="00CC479B" w:rsidP="00CC479B">
            <w:pPr>
              <w:jc w:val="center"/>
              <w:rPr>
                <w:rFonts w:cs="Arial"/>
                <w:color w:val="000000"/>
              </w:rPr>
            </w:pPr>
            <w:r w:rsidRPr="00CC479B">
              <w:rPr>
                <w:rFonts w:cs="Arial"/>
                <w:color w:val="000000"/>
              </w:rPr>
              <w:t>-</w:t>
            </w:r>
          </w:p>
        </w:tc>
      </w:tr>
      <w:tr w:rsidR="00CC479B" w:rsidRPr="00CC479B" w14:paraId="4958C916" w14:textId="77777777" w:rsidTr="00E46E0E">
        <w:trPr>
          <w:cantSplit/>
          <w:trHeight w:val="23"/>
          <w:jc w:val="center"/>
        </w:trPr>
        <w:tc>
          <w:tcPr>
            <w:tcW w:w="1012" w:type="dxa"/>
            <w:gridSpan w:val="2"/>
          </w:tcPr>
          <w:p w14:paraId="3BCF8C55" w14:textId="77777777" w:rsidR="00CC479B" w:rsidRPr="00CC479B" w:rsidRDefault="00CC479B" w:rsidP="00CC479B">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2582" w:type="dxa"/>
            <w:gridSpan w:val="3"/>
          </w:tcPr>
          <w:p w14:paraId="24475F77" w14:textId="77777777" w:rsidR="00CC479B" w:rsidRPr="00CC479B" w:rsidRDefault="00CC479B" w:rsidP="00CC479B">
            <w:pPr>
              <w:jc w:val="center"/>
              <w:rPr>
                <w:rFonts w:cs="Arial"/>
                <w:color w:val="000000"/>
              </w:rPr>
            </w:pPr>
            <w:r w:rsidRPr="00CC479B">
              <w:rPr>
                <w:rFonts w:cs="Arial"/>
                <w:color w:val="000000"/>
              </w:rPr>
              <w:t>0.25/0.25</w:t>
            </w:r>
          </w:p>
        </w:tc>
        <w:tc>
          <w:tcPr>
            <w:tcW w:w="2700" w:type="dxa"/>
            <w:gridSpan w:val="3"/>
          </w:tcPr>
          <w:p w14:paraId="61260FC0" w14:textId="77777777" w:rsidR="00CC479B" w:rsidRPr="00CC479B" w:rsidRDefault="00CC479B" w:rsidP="00CC479B">
            <w:pPr>
              <w:jc w:val="center"/>
              <w:rPr>
                <w:rFonts w:cs="Arial"/>
                <w:color w:val="000000"/>
              </w:rPr>
            </w:pPr>
            <w:r w:rsidRPr="00CC479B">
              <w:rPr>
                <w:rFonts w:cs="Arial"/>
                <w:color w:val="000000"/>
              </w:rPr>
              <w:t>0.25/0.125</w:t>
            </w:r>
          </w:p>
        </w:tc>
        <w:tc>
          <w:tcPr>
            <w:tcW w:w="2250" w:type="dxa"/>
            <w:gridSpan w:val="3"/>
          </w:tcPr>
          <w:p w14:paraId="0C372972" w14:textId="77777777" w:rsidR="00CC479B" w:rsidRPr="00CC479B" w:rsidRDefault="00CC479B" w:rsidP="00CC479B">
            <w:pPr>
              <w:jc w:val="center"/>
              <w:rPr>
                <w:rFonts w:cs="Arial"/>
                <w:color w:val="000000"/>
              </w:rPr>
            </w:pPr>
            <w:r w:rsidRPr="00CC479B">
              <w:rPr>
                <w:rFonts w:cs="Arial"/>
                <w:color w:val="000000"/>
              </w:rPr>
              <w:t>0.417/0.417</w:t>
            </w:r>
          </w:p>
        </w:tc>
        <w:tc>
          <w:tcPr>
            <w:tcW w:w="2610" w:type="dxa"/>
            <w:gridSpan w:val="3"/>
          </w:tcPr>
          <w:p w14:paraId="3B3DB515" w14:textId="77777777" w:rsidR="00CC479B" w:rsidRPr="00CC479B" w:rsidRDefault="00CC479B" w:rsidP="00CC479B">
            <w:pPr>
              <w:jc w:val="center"/>
              <w:rPr>
                <w:rFonts w:cs="Arial"/>
                <w:color w:val="000000"/>
              </w:rPr>
            </w:pPr>
            <w:r w:rsidRPr="00CC479B">
              <w:rPr>
                <w:rFonts w:cs="Arial"/>
                <w:color w:val="000000"/>
              </w:rPr>
              <w:t>0.5/0.25</w:t>
            </w:r>
          </w:p>
        </w:tc>
      </w:tr>
      <w:tr w:rsidR="00CC479B" w:rsidRPr="00CC479B" w14:paraId="5B552203" w14:textId="77777777" w:rsidTr="00E46E0E">
        <w:trPr>
          <w:cantSplit/>
          <w:trHeight w:val="23"/>
          <w:jc w:val="center"/>
        </w:trPr>
        <w:tc>
          <w:tcPr>
            <w:tcW w:w="1012" w:type="dxa"/>
            <w:gridSpan w:val="2"/>
          </w:tcPr>
          <w:p w14:paraId="6E271E64" w14:textId="77777777" w:rsidR="00CC479B" w:rsidRPr="00CC479B" w:rsidRDefault="00CC479B" w:rsidP="00CC479B">
            <w:pPr>
              <w:rPr>
                <w:rFonts w:cs="Arial"/>
              </w:rPr>
            </w:pPr>
          </w:p>
        </w:tc>
        <w:tc>
          <w:tcPr>
            <w:tcW w:w="10142" w:type="dxa"/>
            <w:gridSpan w:val="12"/>
          </w:tcPr>
          <w:p w14:paraId="6DC5D484" w14:textId="77777777" w:rsidR="00CC479B" w:rsidRPr="00CC479B" w:rsidRDefault="00CC479B" w:rsidP="00CC479B">
            <w:pPr>
              <w:rPr>
                <w:rFonts w:cs="Arial"/>
                <w:i/>
                <w:iCs/>
              </w:rPr>
            </w:pPr>
            <w:r w:rsidRPr="00CC479B">
              <w:rPr>
                <w:rFonts w:cs="Arial"/>
                <w:i/>
                <w:iCs/>
              </w:rPr>
              <w:t xml:space="preserve">Notes: </w:t>
            </w:r>
          </w:p>
          <w:p w14:paraId="5976C543" w14:textId="77777777" w:rsidR="00CC479B" w:rsidRPr="00CC479B" w:rsidRDefault="00CC479B" w:rsidP="00CC479B">
            <w:pPr>
              <w:rPr>
                <w:rFonts w:cs="Arial"/>
              </w:rPr>
            </w:pPr>
            <w:r w:rsidRPr="00CC479B">
              <w:rPr>
                <w:rFonts w:cs="Arial"/>
              </w:rPr>
              <w:t xml:space="preserve">Baseline scheme:  For both </w:t>
            </w:r>
            <w:proofErr w:type="gramStart"/>
            <w:r w:rsidRPr="00CC479B">
              <w:rPr>
                <w:rFonts w:cs="Arial"/>
              </w:rPr>
              <w:t>DL:UL</w:t>
            </w:r>
            <w:proofErr w:type="gramEnd"/>
            <w:r w:rsidRPr="00CC479B">
              <w:rPr>
                <w:rFonts w:cs="Arial"/>
              </w:rPr>
              <w:t xml:space="preserve"> traffic ratio = 1:1 and DL:UL traffic ratio = 2:1,  Baseline DL/UL slot ratio = 6:4</w:t>
            </w:r>
          </w:p>
          <w:p w14:paraId="3C7A782D" w14:textId="77777777" w:rsidR="00CC479B" w:rsidRPr="00CC479B" w:rsidRDefault="00CC479B" w:rsidP="00CC479B">
            <w:pPr>
              <w:rPr>
                <w:rFonts w:cs="Arial"/>
              </w:rPr>
            </w:pPr>
            <w:r w:rsidRPr="00CC479B">
              <w:rPr>
                <w:rFonts w:cs="Arial"/>
              </w:rPr>
              <w:t>Flexible Duplex: Flexible UL/DL slot ratio allocation</w:t>
            </w:r>
          </w:p>
          <w:p w14:paraId="41613236" w14:textId="77777777" w:rsidR="00CC479B" w:rsidRPr="00CC479B" w:rsidRDefault="00CC479B" w:rsidP="00CC479B">
            <w:pPr>
              <w:rPr>
                <w:rFonts w:cs="Arial"/>
              </w:rPr>
            </w:pPr>
            <w:r w:rsidRPr="00CC479B">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CC479B">
              <w:rPr>
                <w:rFonts w:cs="Arial"/>
              </w:rPr>
              <w:t xml:space="preserve"> are number of packet arrivals per </w:t>
            </w:r>
            <w:proofErr w:type="gramStart"/>
            <w:r w:rsidRPr="00CC479B">
              <w:rPr>
                <w:rFonts w:cs="Arial"/>
              </w:rPr>
              <w:t>UE  (</w:t>
            </w:r>
            <w:proofErr w:type="gramEnd"/>
            <w:r w:rsidRPr="00CC479B">
              <w:rPr>
                <w:rFonts w:cs="Arial"/>
              </w:rPr>
              <w:t xml:space="preserve">each packet is 0.5MB) </w:t>
            </w:r>
          </w:p>
          <w:p w14:paraId="48D00F9E" w14:textId="77777777" w:rsidR="00CC479B" w:rsidRPr="00CC479B" w:rsidRDefault="00CC479B" w:rsidP="00CC479B">
            <w:pPr>
              <w:rPr>
                <w:rFonts w:cs="Arial"/>
              </w:rPr>
            </w:pPr>
            <w:r w:rsidRPr="00CC479B">
              <w:rPr>
                <w:rFonts w:cs="Arial"/>
              </w:rPr>
              <w:t xml:space="preserve">Low load &lt; 20% </w:t>
            </w:r>
            <w:proofErr w:type="spellStart"/>
            <w:proofErr w:type="gramStart"/>
            <w:r w:rsidRPr="00CC479B">
              <w:rPr>
                <w:rFonts w:cs="Arial"/>
              </w:rPr>
              <w:t>RU,medium</w:t>
            </w:r>
            <w:proofErr w:type="spellEnd"/>
            <w:proofErr w:type="gramEnd"/>
            <w:r w:rsidRPr="00CC479B">
              <w:rPr>
                <w:rFonts w:cs="Arial"/>
              </w:rPr>
              <w:t xml:space="preserve"> load 25-35% RU</w:t>
            </w:r>
          </w:p>
          <w:p w14:paraId="70F3FD9B" w14:textId="77777777" w:rsidR="00CC479B" w:rsidRPr="00CC479B" w:rsidRDefault="00CC479B" w:rsidP="00CC479B">
            <w:pPr>
              <w:rPr>
                <w:rFonts w:cs="Arial"/>
              </w:rPr>
            </w:pPr>
            <w:r w:rsidRPr="00CC479B">
              <w:rPr>
                <w:rFonts w:cs="Arial"/>
              </w:rPr>
              <w:t>RU is resource utilization for the cell (DL and UL combined).</w:t>
            </w:r>
          </w:p>
        </w:tc>
      </w:tr>
    </w:tbl>
    <w:p w14:paraId="6C06ACEC" w14:textId="77777777" w:rsidR="00CC479B" w:rsidRPr="00CC479B" w:rsidRDefault="00CC479B" w:rsidP="00CC479B">
      <w:pPr>
        <w:rPr>
          <w:rFonts w:cs="Arial"/>
        </w:rPr>
      </w:pPr>
    </w:p>
    <w:p w14:paraId="5724BFC9" w14:textId="77777777" w:rsidR="00CC479B" w:rsidRPr="00CC479B" w:rsidRDefault="00CC479B" w:rsidP="00CC479B">
      <w:pPr>
        <w:rPr>
          <w:rFonts w:cs="Arial"/>
          <w:i/>
          <w:iCs/>
        </w:rPr>
      </w:pPr>
      <w:r w:rsidRPr="00CC479B">
        <w:rPr>
          <w:rFonts w:cs="Arial"/>
          <w:b/>
          <w:bCs/>
          <w:i/>
          <w:iCs/>
        </w:rPr>
        <w:t>Observation 10.</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37DE6B25" w14:textId="77777777" w:rsidR="00CC479B" w:rsidRPr="00CC479B" w:rsidRDefault="00CC479B" w:rsidP="00CC479B">
      <w:pPr>
        <w:rPr>
          <w:rFonts w:cs="Arial"/>
        </w:rPr>
      </w:pPr>
      <w:r w:rsidRPr="00CC479B">
        <w:rPr>
          <w:rFonts w:cs="Arial"/>
          <w:b/>
          <w:bCs/>
          <w:i/>
        </w:rPr>
        <w:t>Proposal 10.</w:t>
      </w:r>
      <w:r w:rsidRPr="00CC479B">
        <w:rPr>
          <w:rFonts w:cs="Arial"/>
          <w:i/>
        </w:rPr>
        <w:t xml:space="preserve"> Study cross link interference management schemes for flexible duplex. </w:t>
      </w:r>
    </w:p>
    <w:p w14:paraId="6AC13E35" w14:textId="77777777" w:rsidR="00CC479B" w:rsidRPr="00CC479B" w:rsidRDefault="00CC479B" w:rsidP="00CC479B">
      <w:pPr>
        <w:rPr>
          <w:rFonts w:cs="Arial"/>
        </w:rPr>
      </w:pPr>
    </w:p>
    <w:p w14:paraId="127C7A4E" w14:textId="77777777" w:rsidR="00CC479B" w:rsidRPr="00CC479B" w:rsidRDefault="00CC479B" w:rsidP="00CC479B">
      <w:pPr>
        <w:pStyle w:val="Heading2"/>
      </w:pPr>
      <w:r w:rsidRPr="00CC479B">
        <w:t>On beam failure recovery in UE-to-UE CLI mitigation</w:t>
      </w:r>
    </w:p>
    <w:p w14:paraId="4C6CD043" w14:textId="77777777" w:rsidR="00CC479B" w:rsidRPr="00CC479B" w:rsidRDefault="00CC479B" w:rsidP="00CC479B">
      <w:pPr>
        <w:rPr>
          <w:rFonts w:cs="Arial"/>
        </w:rPr>
      </w:pPr>
      <w:r w:rsidRPr="00CC479B">
        <w:rPr>
          <w:rFonts w:cs="Arial"/>
        </w:rPr>
        <w:t xml:space="preserve">In NR Rel-17 [4],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sidRPr="00CC479B">
        <w:rPr>
          <w:rFonts w:cs="Arial"/>
        </w:rPr>
        <w:t>time period</w:t>
      </w:r>
      <w:proofErr w:type="gramEnd"/>
      <w:r w:rsidRPr="00CC479B">
        <w:rPr>
          <w:rFonts w:cs="Arial"/>
        </w:rPr>
        <w:t>, the UE indicates BFD to higher layers and starts the beam failure recovery (BFR) procedure accordingly.</w:t>
      </w:r>
    </w:p>
    <w:p w14:paraId="057E7096" w14:textId="77777777" w:rsidR="00CC479B" w:rsidRPr="00CC479B" w:rsidRDefault="00CC479B" w:rsidP="00CC479B">
      <w:pPr>
        <w:rPr>
          <w:rFonts w:cs="Arial"/>
        </w:rPr>
      </w:pPr>
      <w:r w:rsidRPr="00CC479B">
        <w:rPr>
          <w:rFonts w:cs="Arial"/>
        </w:rPr>
        <w:lastRenderedPageBreak/>
        <w:t xml:space="preserve">In NR dynamic TDD operation, the CLI from an aggressor UE may cause beam failure instances or even radio link failure at the victim UE. For example, due to significant impacts from CLI as observed based on an indoor scenario in Table 1, the victim UE may determine that the DL radio link quality is lower than respective thresholds. However, the victim UE in a link failure situation may not clearly distinguish whether the failure is occurred by mainly the CLI effects or not. </w:t>
      </w:r>
    </w:p>
    <w:p w14:paraId="5EB1E097" w14:textId="77777777" w:rsidR="00CC479B" w:rsidRPr="00CC479B" w:rsidRDefault="00CC479B" w:rsidP="00CC479B">
      <w:pPr>
        <w:rPr>
          <w:rFonts w:cs="Arial"/>
        </w:rPr>
      </w:pPr>
      <w:r w:rsidRPr="00CC479B">
        <w:rPr>
          <w:rFonts w:cs="Arial"/>
        </w:rPr>
        <w:t xml:space="preserve">Especially in FR2, a BFI due to CLI may occur even when the signal received from </w:t>
      </w:r>
      <w:proofErr w:type="spellStart"/>
      <w:r w:rsidRPr="00CC479B">
        <w:rPr>
          <w:rFonts w:cs="Arial"/>
        </w:rPr>
        <w:t>gNB</w:t>
      </w:r>
      <w:proofErr w:type="spellEnd"/>
      <w:r w:rsidRPr="00CC479B">
        <w:rPr>
          <w:rFonts w:cs="Arial"/>
        </w:rPr>
        <w:t xml:space="preserve"> is not physically blocked, where its received power is still in an acceptable range. In the BFI due to the CLI, the degradation in the DL radio link is due to the interference from an aggressor UE, causing a UE-to-UE CLI. The potential victim UE that has detected a beam failure instance may need to take different actions than existing BFI (e.g., due to beam blockage) if the BFI is caused due to CLI in NR dynamic TDD systems.</w:t>
      </w:r>
    </w:p>
    <w:p w14:paraId="6901E03D" w14:textId="77777777" w:rsidR="00CC479B" w:rsidRPr="00CC479B" w:rsidRDefault="00CC479B" w:rsidP="00CC479B">
      <w:pPr>
        <w:rPr>
          <w:rFonts w:cs="Arial"/>
          <w:i/>
          <w:iCs/>
        </w:rPr>
      </w:pPr>
      <w:r w:rsidRPr="00CC479B">
        <w:rPr>
          <w:rFonts w:cs="Arial"/>
          <w:b/>
          <w:bCs/>
          <w:i/>
          <w:iCs/>
        </w:rPr>
        <w:t>Observation 11.</w:t>
      </w:r>
      <w:r w:rsidRPr="00CC479B">
        <w:rPr>
          <w:rFonts w:cs="Arial"/>
          <w:i/>
          <w:iCs/>
        </w:rPr>
        <w:t xml:space="preserve"> A beam failure instance due to CLI may occur even when the signal received from </w:t>
      </w:r>
      <w:proofErr w:type="spellStart"/>
      <w:r w:rsidRPr="00CC479B">
        <w:rPr>
          <w:rFonts w:cs="Arial"/>
          <w:i/>
          <w:iCs/>
        </w:rPr>
        <w:t>gNB</w:t>
      </w:r>
      <w:proofErr w:type="spellEnd"/>
      <w:r w:rsidRPr="00CC479B">
        <w:rPr>
          <w:rFonts w:cs="Arial"/>
          <w:i/>
          <w:iCs/>
        </w:rPr>
        <w:t xml:space="preserve"> is not physically blocked, where the degradation in the DL radio link is mainly due to the interference from an aggressor UE.</w:t>
      </w:r>
    </w:p>
    <w:p w14:paraId="080466C5" w14:textId="77777777" w:rsidR="00CC479B" w:rsidRPr="00CC479B" w:rsidRDefault="00CC479B" w:rsidP="00CC479B">
      <w:pPr>
        <w:rPr>
          <w:rFonts w:cs="Arial"/>
        </w:rPr>
      </w:pPr>
      <w:r w:rsidRPr="00CC479B">
        <w:rPr>
          <w:rFonts w:cs="Arial"/>
        </w:rPr>
        <w:t xml:space="preserve">Upon detection of a beam failure instance, the potential victim UE may determine a type of the BFI as part of BFD procedure. The UE could measure the channel parameters (e.g., RSRP, </w:t>
      </w:r>
      <w:proofErr w:type="spellStart"/>
      <w:r w:rsidRPr="00CC479B">
        <w:rPr>
          <w:rFonts w:cs="Arial"/>
        </w:rPr>
        <w:t>hyp</w:t>
      </w:r>
      <w:proofErr w:type="spellEnd"/>
      <w:r w:rsidRPr="00CC479B">
        <w:rPr>
          <w:rFonts w:cs="Arial"/>
        </w:rPr>
        <w:t>. BLER, SINR, etc.) and interference parameters (e.g., CLI-RSSI, SRS-RSRP, etc.) and compare the derived parameters with respective thresholds. For example, the UE could determine that the beam failure was caused by beam blockage and not the CLI, if measured RSRP and CLI-RSSI are lower than respective thresholds. Also, the UE could determine that the beam failure was caused by CLI, if measured RSRP is lower than respective threshold, whereas the measured CLI is higher than respective threshold.</w:t>
      </w:r>
    </w:p>
    <w:p w14:paraId="2BE7488B" w14:textId="77777777" w:rsidR="00CC479B" w:rsidRPr="00CC479B" w:rsidRDefault="00CC479B" w:rsidP="00CC479B">
      <w:pPr>
        <w:rPr>
          <w:rFonts w:cs="Arial"/>
        </w:rPr>
      </w:pPr>
      <w:r w:rsidRPr="00CC479B">
        <w:rPr>
          <w:rFonts w:cs="Arial"/>
        </w:rPr>
        <w:t xml:space="preserve">In a scenario, for a UE with multi-panel capability determining that the beam failure was due to CLI, the </w:t>
      </w:r>
      <w:proofErr w:type="spellStart"/>
      <w:r w:rsidRPr="00CC479B">
        <w:rPr>
          <w:rFonts w:cs="Arial"/>
        </w:rPr>
        <w:t>gNB</w:t>
      </w:r>
      <w:proofErr w:type="spellEnd"/>
      <w:r w:rsidRPr="00CC479B">
        <w:rPr>
          <w:rFonts w:cs="Arial"/>
        </w:rPr>
        <w:t xml:space="preserve"> can configure the UE to prioritize the current active panel on searching candidate beams for the beam failure recovery. In case none of the candidate beams for the current active panel are having an acceptable received power, where a respective timer can be associated, the UE could then decide to switch the active panel to the other panel as part of the BFR procedure. As such, the UE could search the candidate beams corresponding to the second panel, which provides benefits in that the </w:t>
      </w:r>
      <w:proofErr w:type="spellStart"/>
      <w:r w:rsidRPr="00CC479B">
        <w:rPr>
          <w:rFonts w:cs="Arial"/>
        </w:rPr>
        <w:t>gNB</w:t>
      </w:r>
      <w:proofErr w:type="spellEnd"/>
      <w:r w:rsidRPr="00CC479B">
        <w:rPr>
          <w:rFonts w:cs="Arial"/>
        </w:rPr>
        <w:t xml:space="preserve"> can set a high priority on the current beam-pair-link to be recovered, in consideration of the beam failure event being occurred due to the CLI.</w:t>
      </w:r>
    </w:p>
    <w:p w14:paraId="62D6C014" w14:textId="77777777" w:rsidR="00CC479B" w:rsidRPr="00CC479B" w:rsidRDefault="00CC479B" w:rsidP="00CC479B">
      <w:pPr>
        <w:rPr>
          <w:rFonts w:cs="Arial"/>
        </w:rPr>
      </w:pPr>
      <w:r w:rsidRPr="00CC479B">
        <w:rPr>
          <w:rFonts w:cs="Arial"/>
        </w:rPr>
        <w:t>Moreover, if the victim UE determines that BFI was caused by CLI, the UE may follow the CLI-related procedure for the beam failure recovery. For example, as the UL channel is not affected by CLI from aggressor UE, the victim UE can send beam failure recovery request via a UL MAC-CE, which is more efficient way in terms of resource overhead and latency compared to an existing RACH related procedure.</w:t>
      </w:r>
    </w:p>
    <w:p w14:paraId="6393B952" w14:textId="77777777" w:rsidR="00CC479B" w:rsidRPr="00CC479B" w:rsidRDefault="00CC479B" w:rsidP="00CC479B">
      <w:pPr>
        <w:rPr>
          <w:rFonts w:cs="Arial"/>
          <w:i/>
          <w:iCs/>
        </w:rPr>
      </w:pPr>
      <w:r w:rsidRPr="00CC479B">
        <w:rPr>
          <w:rFonts w:cs="Arial"/>
          <w:b/>
          <w:bCs/>
          <w:i/>
          <w:iCs/>
        </w:rPr>
        <w:t xml:space="preserve">Proposal 11.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35397ADF"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panel switching mechanism as part of beam failure recovery procedure due to the nature of the UE-to-UE CLI. </w:t>
      </w:r>
    </w:p>
    <w:p w14:paraId="7E15ADB8" w14:textId="77777777" w:rsidR="00CC479B" w:rsidRDefault="00CC479B" w:rsidP="006912C6">
      <w:pPr>
        <w:rPr>
          <w:rFonts w:cs="Arial"/>
        </w:rPr>
      </w:pPr>
    </w:p>
    <w:p w14:paraId="0B6D7D6F" w14:textId="77777777" w:rsidR="00214E6A" w:rsidRPr="004A1A95" w:rsidRDefault="00214E6A" w:rsidP="00214E6A">
      <w:pPr>
        <w:pStyle w:val="Heading1"/>
      </w:pPr>
      <w:r w:rsidRPr="004A1A95">
        <w:t>Conclusion</w:t>
      </w:r>
    </w:p>
    <w:p w14:paraId="66F0DF76" w14:textId="69A58489"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CC479B" w:rsidRPr="00CC479B">
        <w:rPr>
          <w:rFonts w:cs="Arial"/>
        </w:rPr>
        <w:t xml:space="preserve">we discussed dynamic/flexible TDD operations in NR based on the analysis on CLI effects and discussed issues on spatial domain enhancements, UE and </w:t>
      </w:r>
      <w:proofErr w:type="spellStart"/>
      <w:r w:rsidR="00CC479B" w:rsidRPr="00CC479B">
        <w:rPr>
          <w:rFonts w:cs="Arial"/>
        </w:rPr>
        <w:t>gNB</w:t>
      </w:r>
      <w:proofErr w:type="spellEnd"/>
      <w:r w:rsidR="00CC479B" w:rsidRPr="00CC479B">
        <w:rPr>
          <w:rFonts w:cs="Arial"/>
        </w:rPr>
        <w:t xml:space="preserve"> transmission and reception timing alignment, power control solutions, and enhancements in UE-to-UE measurement and reporting techniques. From the discussions, we made following observations and proposals:</w:t>
      </w:r>
    </w:p>
    <w:p w14:paraId="526F0E96" w14:textId="77777777" w:rsidR="00200FA2" w:rsidRPr="00200FA2" w:rsidRDefault="00200FA2" w:rsidP="00200FA2">
      <w:pPr>
        <w:rPr>
          <w:rFonts w:cs="Arial"/>
          <w:i/>
          <w:iCs/>
        </w:rPr>
      </w:pPr>
      <w:r w:rsidRPr="00200FA2">
        <w:rPr>
          <w:rFonts w:cs="Arial"/>
          <w:b/>
          <w:bCs/>
          <w:i/>
          <w:iCs/>
        </w:rPr>
        <w:t xml:space="preserve">Observation 1. </w:t>
      </w:r>
      <w:r w:rsidRPr="00200FA2">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200FA2">
        <w:rPr>
          <w:rFonts w:cs="Arial"/>
          <w:i/>
          <w:iCs/>
        </w:rPr>
        <w:t>gNB</w:t>
      </w:r>
      <w:proofErr w:type="spellEnd"/>
      <w:r w:rsidRPr="00200FA2">
        <w:rPr>
          <w:rFonts w:cs="Arial"/>
          <w:i/>
          <w:iCs/>
        </w:rPr>
        <w:t xml:space="preserve">. </w:t>
      </w:r>
    </w:p>
    <w:p w14:paraId="098F65FD" w14:textId="77777777" w:rsidR="00200FA2" w:rsidRPr="00200FA2" w:rsidRDefault="00200FA2" w:rsidP="00200FA2">
      <w:pPr>
        <w:rPr>
          <w:rFonts w:cs="Arial"/>
          <w:i/>
          <w:iCs/>
        </w:rPr>
      </w:pPr>
      <w:r w:rsidRPr="00200FA2">
        <w:rPr>
          <w:rFonts w:cs="Arial"/>
          <w:b/>
          <w:bCs/>
          <w:i/>
          <w:iCs/>
        </w:rPr>
        <w:t xml:space="preserve">Observation 2. </w:t>
      </w:r>
      <w:r w:rsidRPr="00200FA2">
        <w:rPr>
          <w:rFonts w:cs="Arial"/>
          <w:i/>
          <w:iCs/>
        </w:rPr>
        <w:t>Layer 1 UE-to-UE CLI measurement and reporting could be used for performance enhancement by improving interference measurement accuracy and reducing the reporting overhead, respectively.</w:t>
      </w:r>
    </w:p>
    <w:p w14:paraId="5D48580D" w14:textId="77777777" w:rsidR="00200FA2" w:rsidRPr="00200FA2" w:rsidRDefault="00200FA2" w:rsidP="00200FA2">
      <w:pPr>
        <w:rPr>
          <w:rFonts w:cs="Arial"/>
          <w:i/>
          <w:iCs/>
        </w:rPr>
      </w:pPr>
      <w:r w:rsidRPr="00200FA2">
        <w:rPr>
          <w:rFonts w:cs="Arial"/>
          <w:b/>
          <w:bCs/>
          <w:i/>
          <w:iCs/>
        </w:rPr>
        <w:t xml:space="preserve">Observation 3. </w:t>
      </w:r>
      <w:r w:rsidRPr="00200FA2">
        <w:rPr>
          <w:rFonts w:cs="Arial"/>
          <w:i/>
          <w:iCs/>
        </w:rPr>
        <w:t>Layer 1 UE-to-UE delta CLI measurement for the band-edge and the middle-band could be used for performance enhancement by UE reporting an indication if the difference between the two measurements is higher than a threshold.</w:t>
      </w:r>
    </w:p>
    <w:p w14:paraId="3B66CCF4" w14:textId="77777777" w:rsidR="00200FA2" w:rsidRPr="00200FA2" w:rsidRDefault="00200FA2" w:rsidP="00200FA2">
      <w:pPr>
        <w:rPr>
          <w:rFonts w:cs="Arial"/>
          <w:i/>
          <w:iCs/>
        </w:rPr>
      </w:pPr>
      <w:r w:rsidRPr="00200FA2">
        <w:rPr>
          <w:rFonts w:cs="Arial"/>
          <w:b/>
          <w:bCs/>
          <w:i/>
          <w:iCs/>
        </w:rPr>
        <w:t xml:space="preserve">Observation 4. </w:t>
      </w:r>
      <w:r w:rsidRPr="00200FA2">
        <w:rPr>
          <w:rFonts w:cs="Arial"/>
          <w:i/>
          <w:iCs/>
        </w:rPr>
        <w:t xml:space="preserve">Joint beam management between victim UE and </w:t>
      </w:r>
      <w:proofErr w:type="spellStart"/>
      <w:r w:rsidRPr="00200FA2">
        <w:rPr>
          <w:rFonts w:cs="Arial"/>
          <w:i/>
          <w:iCs/>
        </w:rPr>
        <w:t>gNB</w:t>
      </w:r>
      <w:proofErr w:type="spellEnd"/>
      <w:r w:rsidRPr="00200FA2">
        <w:rPr>
          <w:rFonts w:cs="Arial"/>
          <w:i/>
          <w:iCs/>
        </w:rPr>
        <w:t xml:space="preserve"> </w:t>
      </w:r>
      <w:proofErr w:type="gramStart"/>
      <w:r w:rsidRPr="00200FA2">
        <w:rPr>
          <w:rFonts w:cs="Arial"/>
          <w:i/>
          <w:iCs/>
        </w:rPr>
        <w:t>taking into account</w:t>
      </w:r>
      <w:proofErr w:type="gramEnd"/>
      <w:r w:rsidRPr="00200FA2">
        <w:rPr>
          <w:rFonts w:cs="Arial"/>
          <w:i/>
          <w:iCs/>
        </w:rPr>
        <w:t xml:space="preserve"> beams from aggressor UE can be beneficial in dynamic beam selection for UE-to-UE Co-channel CLI mitigation.</w:t>
      </w:r>
    </w:p>
    <w:p w14:paraId="71D18B7F" w14:textId="77777777" w:rsidR="00200FA2" w:rsidRPr="00200FA2" w:rsidRDefault="00200FA2" w:rsidP="00200FA2">
      <w:pPr>
        <w:rPr>
          <w:rFonts w:cs="Arial"/>
          <w:i/>
          <w:iCs/>
        </w:rPr>
      </w:pPr>
      <w:r w:rsidRPr="00200FA2">
        <w:rPr>
          <w:rFonts w:cs="Arial"/>
          <w:b/>
          <w:bCs/>
          <w:i/>
          <w:iCs/>
        </w:rPr>
        <w:t>Observation 5.</w:t>
      </w:r>
      <w:r w:rsidRPr="00200FA2">
        <w:rPr>
          <w:rFonts w:cs="Arial"/>
          <w:i/>
          <w:iCs/>
        </w:rPr>
        <w:t xml:space="preserve"> In spatial domain coordination, there are two aspects to be considered: </w:t>
      </w:r>
    </w:p>
    <w:p w14:paraId="0EE185B2" w14:textId="77777777" w:rsidR="00200FA2" w:rsidRPr="00200FA2" w:rsidRDefault="00200FA2">
      <w:pPr>
        <w:pStyle w:val="ListParagraph"/>
        <w:numPr>
          <w:ilvl w:val="0"/>
          <w:numId w:val="13"/>
        </w:numPr>
        <w:spacing w:after="120" w:line="240" w:lineRule="auto"/>
        <w:ind w:left="763"/>
        <w:contextualSpacing w:val="0"/>
        <w:jc w:val="both"/>
        <w:rPr>
          <w:rFonts w:ascii="Arial" w:hAnsi="Arial" w:cs="Arial"/>
          <w:i/>
          <w:iCs/>
          <w:sz w:val="20"/>
          <w:szCs w:val="20"/>
        </w:rPr>
      </w:pPr>
      <w:r w:rsidRPr="00200FA2">
        <w:rPr>
          <w:rFonts w:ascii="Arial" w:hAnsi="Arial" w:cs="Arial"/>
          <w:i/>
          <w:iCs/>
          <w:sz w:val="20"/>
          <w:szCs w:val="20"/>
        </w:rPr>
        <w:lastRenderedPageBreak/>
        <w:t>Preventive aspects, that is determining the victim and aggressor UEs beam pairs to be avoided</w:t>
      </w:r>
    </w:p>
    <w:p w14:paraId="7CD2A932" w14:textId="77777777" w:rsidR="00200FA2" w:rsidRPr="00200FA2" w:rsidRDefault="00200FA2">
      <w:pPr>
        <w:pStyle w:val="ListParagraph"/>
        <w:numPr>
          <w:ilvl w:val="0"/>
          <w:numId w:val="13"/>
        </w:numPr>
        <w:spacing w:after="120" w:line="240" w:lineRule="auto"/>
        <w:ind w:left="763"/>
        <w:contextualSpacing w:val="0"/>
        <w:jc w:val="both"/>
        <w:rPr>
          <w:rFonts w:ascii="Arial" w:hAnsi="Arial" w:cs="Arial"/>
          <w:i/>
          <w:iCs/>
          <w:sz w:val="20"/>
          <w:szCs w:val="20"/>
        </w:rPr>
      </w:pPr>
      <w:r w:rsidRPr="00200FA2">
        <w:rPr>
          <w:rFonts w:ascii="Arial" w:hAnsi="Arial" w:cs="Arial"/>
          <w:i/>
          <w:iCs/>
          <w:sz w:val="20"/>
          <w:szCs w:val="20"/>
        </w:rPr>
        <w:t xml:space="preserve">Beam pairing aspects, that is determining the </w:t>
      </w:r>
      <w:proofErr w:type="spellStart"/>
      <w:r w:rsidRPr="00200FA2">
        <w:rPr>
          <w:rFonts w:ascii="Arial" w:hAnsi="Arial" w:cs="Arial"/>
          <w:i/>
          <w:iCs/>
          <w:sz w:val="20"/>
          <w:szCs w:val="20"/>
        </w:rPr>
        <w:t>gNB</w:t>
      </w:r>
      <w:proofErr w:type="spellEnd"/>
      <w:r w:rsidRPr="00200FA2">
        <w:rPr>
          <w:rFonts w:ascii="Arial" w:hAnsi="Arial" w:cs="Arial"/>
          <w:i/>
          <w:iCs/>
          <w:sz w:val="20"/>
          <w:szCs w:val="20"/>
        </w:rPr>
        <w:t xml:space="preserve"> and victim UE beam pairs to be used based on directional CLI from the aggressor UEs. </w:t>
      </w:r>
    </w:p>
    <w:p w14:paraId="38B1D176" w14:textId="77777777" w:rsidR="00200FA2" w:rsidRPr="00200FA2" w:rsidRDefault="00200FA2" w:rsidP="00200FA2">
      <w:pPr>
        <w:pStyle w:val="BodyText"/>
        <w:spacing w:line="240" w:lineRule="auto"/>
        <w:jc w:val="both"/>
        <w:rPr>
          <w:rFonts w:cs="Arial"/>
          <w:i/>
          <w:iCs/>
          <w:sz w:val="20"/>
          <w:szCs w:val="20"/>
        </w:rPr>
      </w:pPr>
      <w:r w:rsidRPr="00200FA2">
        <w:rPr>
          <w:rFonts w:cs="Arial"/>
          <w:b/>
          <w:bCs/>
          <w:i/>
          <w:iCs/>
          <w:sz w:val="20"/>
          <w:szCs w:val="20"/>
        </w:rPr>
        <w:t xml:space="preserve">Observation 6. </w:t>
      </w:r>
      <w:r w:rsidRPr="00200FA2">
        <w:rPr>
          <w:rFonts w:cs="Arial"/>
          <w:i/>
          <w:iCs/>
          <w:sz w:val="20"/>
          <w:szCs w:val="20"/>
        </w:rPr>
        <w:t>Techniques based on potential victim UE for monitoring the potential existence of CLI before being granted for DL transmission could be used to enhance spatial domain coordination in UE-to-UE interference mitigation.</w:t>
      </w:r>
    </w:p>
    <w:p w14:paraId="18BD5DBB" w14:textId="77777777" w:rsidR="00200FA2" w:rsidRPr="00200FA2" w:rsidRDefault="00200FA2" w:rsidP="00200FA2">
      <w:pPr>
        <w:rPr>
          <w:rFonts w:cs="Arial"/>
          <w:i/>
          <w:iCs/>
        </w:rPr>
      </w:pPr>
      <w:r w:rsidRPr="00200FA2">
        <w:rPr>
          <w:rFonts w:cs="Arial"/>
          <w:b/>
          <w:bCs/>
          <w:i/>
          <w:iCs/>
        </w:rPr>
        <w:t xml:space="preserve">Observation 7. </w:t>
      </w:r>
      <w:r w:rsidRPr="00200FA2">
        <w:rPr>
          <w:rFonts w:cs="Arial"/>
          <w:i/>
          <w:iCs/>
        </w:rPr>
        <w:t xml:space="preserve">UE and </w:t>
      </w:r>
      <w:proofErr w:type="spellStart"/>
      <w:r w:rsidRPr="00200FA2">
        <w:rPr>
          <w:rFonts w:cs="Arial"/>
          <w:i/>
          <w:iCs/>
        </w:rPr>
        <w:t>gNB</w:t>
      </w:r>
      <w:proofErr w:type="spellEnd"/>
      <w:r w:rsidRPr="00200FA2">
        <w:rPr>
          <w:rFonts w:cs="Arial"/>
          <w:i/>
          <w:iCs/>
        </w:rPr>
        <w:t xml:space="preserve"> timing alignment could be effective in performance enhancement for UE-to-UE CLI measurement and accuracy.</w:t>
      </w:r>
    </w:p>
    <w:p w14:paraId="33C19BD0" w14:textId="77777777" w:rsidR="00200FA2" w:rsidRPr="00200FA2" w:rsidRDefault="00200FA2" w:rsidP="00200FA2">
      <w:pPr>
        <w:pStyle w:val="BodyText"/>
        <w:spacing w:line="240" w:lineRule="auto"/>
        <w:jc w:val="both"/>
        <w:rPr>
          <w:rFonts w:cs="Arial"/>
          <w:i/>
          <w:iCs/>
          <w:sz w:val="20"/>
          <w:szCs w:val="20"/>
        </w:rPr>
      </w:pPr>
      <w:r w:rsidRPr="00200FA2">
        <w:rPr>
          <w:rFonts w:cs="Arial"/>
          <w:b/>
          <w:bCs/>
          <w:i/>
          <w:iCs/>
          <w:sz w:val="20"/>
          <w:szCs w:val="20"/>
        </w:rPr>
        <w:t>Observation 8.</w:t>
      </w:r>
      <w:r w:rsidRPr="00200FA2">
        <w:rPr>
          <w:rFonts w:cs="Arial"/>
          <w:i/>
          <w:iCs/>
          <w:sz w:val="20"/>
          <w:szCs w:val="20"/>
        </w:rPr>
        <w:t xml:space="preserve"> Dynamic UL power control mechanisms based on some dynamic factors such as the frequency gap, beam/spatial-domain parameter, or a priority indication on the UL could be used in performance enhancement for UE-to-UE CLI mitigation. </w:t>
      </w:r>
    </w:p>
    <w:p w14:paraId="25833BFA" w14:textId="77777777" w:rsidR="00200FA2" w:rsidRPr="00200FA2" w:rsidRDefault="00200FA2" w:rsidP="00200FA2">
      <w:pPr>
        <w:pStyle w:val="BodyText"/>
        <w:spacing w:line="240" w:lineRule="auto"/>
        <w:jc w:val="both"/>
        <w:rPr>
          <w:rFonts w:cs="Arial"/>
          <w:i/>
          <w:iCs/>
          <w:sz w:val="20"/>
          <w:szCs w:val="20"/>
        </w:rPr>
      </w:pPr>
      <w:r w:rsidRPr="00200FA2">
        <w:rPr>
          <w:rFonts w:cs="Arial"/>
          <w:b/>
          <w:bCs/>
          <w:i/>
          <w:iCs/>
          <w:sz w:val="20"/>
          <w:szCs w:val="20"/>
        </w:rPr>
        <w:t>Observation 9.</w:t>
      </w:r>
      <w:r w:rsidRPr="00200FA2">
        <w:rPr>
          <w:rFonts w:cs="Arial"/>
          <w:i/>
          <w:iCs/>
          <w:sz w:val="20"/>
          <w:szCs w:val="20"/>
        </w:rPr>
        <w:t xml:space="preserve"> Dynamic DL power backoff/control mechanisms at </w:t>
      </w:r>
      <w:proofErr w:type="spellStart"/>
      <w:r w:rsidRPr="00200FA2">
        <w:rPr>
          <w:rFonts w:cs="Arial"/>
          <w:i/>
          <w:iCs/>
          <w:sz w:val="20"/>
          <w:szCs w:val="20"/>
        </w:rPr>
        <w:t>gNB</w:t>
      </w:r>
      <w:proofErr w:type="spellEnd"/>
      <w:r w:rsidRPr="00200FA2">
        <w:rPr>
          <w:rFonts w:cs="Arial"/>
          <w:i/>
          <w:iCs/>
          <w:sz w:val="20"/>
          <w:szCs w:val="20"/>
        </w:rPr>
        <w:t xml:space="preserve"> could be used </w:t>
      </w:r>
      <w:r w:rsidRPr="00200FA2">
        <w:rPr>
          <w:rFonts w:cs="Arial"/>
          <w:i/>
          <w:iCs/>
          <w:sz w:val="20"/>
          <w:szCs w:val="20"/>
          <w:lang w:val="en-GB"/>
        </w:rPr>
        <w:t xml:space="preserve">to deal with self-interference caused by the FD operation at the </w:t>
      </w:r>
      <w:proofErr w:type="spellStart"/>
      <w:r w:rsidRPr="00200FA2">
        <w:rPr>
          <w:rFonts w:cs="Arial"/>
          <w:i/>
          <w:iCs/>
          <w:sz w:val="20"/>
          <w:szCs w:val="20"/>
          <w:lang w:val="en-GB"/>
        </w:rPr>
        <w:t>gNB</w:t>
      </w:r>
      <w:proofErr w:type="spellEnd"/>
      <w:r w:rsidRPr="00200FA2">
        <w:rPr>
          <w:rFonts w:cs="Arial"/>
          <w:i/>
          <w:iCs/>
          <w:sz w:val="20"/>
          <w:szCs w:val="20"/>
          <w:lang w:val="en-GB"/>
        </w:rPr>
        <w:t>, where such mechanism could impact UE behaviours including CSI-RS measurements depending on the amount of the power backoff.</w:t>
      </w:r>
    </w:p>
    <w:p w14:paraId="36A0AF40" w14:textId="77777777" w:rsidR="00200FA2" w:rsidRPr="00200FA2" w:rsidRDefault="00200FA2" w:rsidP="00200FA2">
      <w:pPr>
        <w:rPr>
          <w:rFonts w:cs="Arial"/>
          <w:i/>
          <w:iCs/>
        </w:rPr>
      </w:pPr>
      <w:r w:rsidRPr="00200FA2">
        <w:rPr>
          <w:rFonts w:cs="Arial"/>
          <w:b/>
          <w:bCs/>
          <w:i/>
          <w:iCs/>
        </w:rPr>
        <w:t>Observation 10.</w:t>
      </w:r>
      <w:r w:rsidRPr="00200FA2">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4D700463" w14:textId="77777777" w:rsidR="00200FA2" w:rsidRPr="00200FA2" w:rsidRDefault="00200FA2" w:rsidP="00200FA2">
      <w:pPr>
        <w:rPr>
          <w:rFonts w:cs="Arial"/>
          <w:i/>
          <w:iCs/>
        </w:rPr>
      </w:pPr>
      <w:r w:rsidRPr="00200FA2">
        <w:rPr>
          <w:rFonts w:cs="Arial"/>
          <w:b/>
          <w:bCs/>
          <w:i/>
          <w:iCs/>
        </w:rPr>
        <w:t>Observation 11.</w:t>
      </w:r>
      <w:r w:rsidRPr="00200FA2">
        <w:rPr>
          <w:rFonts w:cs="Arial"/>
          <w:i/>
          <w:iCs/>
        </w:rPr>
        <w:t xml:space="preserve"> A beam failure instance due to CLI may occur even when the signal received from </w:t>
      </w:r>
      <w:proofErr w:type="spellStart"/>
      <w:r w:rsidRPr="00200FA2">
        <w:rPr>
          <w:rFonts w:cs="Arial"/>
          <w:i/>
          <w:iCs/>
        </w:rPr>
        <w:t>gNB</w:t>
      </w:r>
      <w:proofErr w:type="spellEnd"/>
      <w:r w:rsidRPr="00200FA2">
        <w:rPr>
          <w:rFonts w:cs="Arial"/>
          <w:i/>
          <w:iCs/>
        </w:rPr>
        <w:t xml:space="preserve"> is not physically blocked, where the degradation in the DL radio link is mainly due to the interference from an aggressor UE.</w:t>
      </w:r>
    </w:p>
    <w:p w14:paraId="5D653782" w14:textId="77777777" w:rsidR="00200FA2" w:rsidRPr="00200FA2" w:rsidRDefault="00200FA2" w:rsidP="00200FA2">
      <w:pPr>
        <w:rPr>
          <w:rFonts w:cs="Arial"/>
          <w:b/>
          <w:bCs/>
          <w:i/>
          <w:iCs/>
        </w:rPr>
      </w:pPr>
    </w:p>
    <w:p w14:paraId="0F0F6580" w14:textId="77777777" w:rsidR="00200FA2" w:rsidRPr="00200FA2" w:rsidRDefault="00200FA2" w:rsidP="00200FA2">
      <w:pPr>
        <w:rPr>
          <w:rFonts w:cs="Arial"/>
          <w:i/>
          <w:iCs/>
        </w:rPr>
      </w:pPr>
      <w:r w:rsidRPr="00200FA2">
        <w:rPr>
          <w:rFonts w:cs="Arial"/>
          <w:b/>
          <w:bCs/>
          <w:i/>
          <w:iCs/>
        </w:rPr>
        <w:t xml:space="preserve">Proposal 1. </w:t>
      </w:r>
      <w:r w:rsidRPr="00200FA2">
        <w:rPr>
          <w:rFonts w:cs="Arial"/>
          <w:i/>
          <w:iCs/>
        </w:rPr>
        <w:t>Prioritize study on following topics in UE-to-UE CLI mitigation:</w:t>
      </w:r>
    </w:p>
    <w:p w14:paraId="5CB588DC" w14:textId="77777777" w:rsidR="00200FA2" w:rsidRPr="00200FA2" w:rsidRDefault="00200FA2">
      <w:pPr>
        <w:pStyle w:val="ListParagraph"/>
        <w:numPr>
          <w:ilvl w:val="0"/>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 xml:space="preserve">Potential enhancements to UE-to-UE CLI measurement/reporting, </w:t>
      </w:r>
    </w:p>
    <w:p w14:paraId="3B5043F4" w14:textId="77777777" w:rsidR="00200FA2" w:rsidRPr="00200FA2" w:rsidRDefault="00200FA2">
      <w:pPr>
        <w:pStyle w:val="ListParagraph"/>
        <w:numPr>
          <w:ilvl w:val="1"/>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Including L1 measurement/ reporting,</w:t>
      </w:r>
    </w:p>
    <w:p w14:paraId="114BADED" w14:textId="77777777" w:rsidR="00200FA2" w:rsidRPr="00200FA2" w:rsidRDefault="00200FA2">
      <w:pPr>
        <w:pStyle w:val="ListParagraph"/>
        <w:numPr>
          <w:ilvl w:val="0"/>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 xml:space="preserve">Spatial domain enhancements, </w:t>
      </w:r>
    </w:p>
    <w:p w14:paraId="1F5C1F1D" w14:textId="77777777" w:rsidR="00200FA2" w:rsidRPr="00200FA2" w:rsidRDefault="00200FA2">
      <w:pPr>
        <w:pStyle w:val="ListParagraph"/>
        <w:numPr>
          <w:ilvl w:val="0"/>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 xml:space="preserve">UE and </w:t>
      </w:r>
      <w:proofErr w:type="spellStart"/>
      <w:r w:rsidRPr="00200FA2">
        <w:rPr>
          <w:rFonts w:ascii="Arial" w:hAnsi="Arial" w:cs="Arial"/>
          <w:i/>
          <w:iCs/>
          <w:sz w:val="20"/>
          <w:szCs w:val="20"/>
        </w:rPr>
        <w:t>gNB</w:t>
      </w:r>
      <w:proofErr w:type="spellEnd"/>
      <w:r w:rsidRPr="00200FA2">
        <w:rPr>
          <w:rFonts w:ascii="Arial" w:hAnsi="Arial" w:cs="Arial"/>
          <w:i/>
          <w:iCs/>
          <w:sz w:val="20"/>
          <w:szCs w:val="20"/>
        </w:rPr>
        <w:t xml:space="preserve"> transmission and reception timing alignments,</w:t>
      </w:r>
    </w:p>
    <w:p w14:paraId="2C224FFD" w14:textId="77777777" w:rsidR="00200FA2" w:rsidRPr="00200FA2" w:rsidRDefault="00200FA2">
      <w:pPr>
        <w:pStyle w:val="ListParagraph"/>
        <w:numPr>
          <w:ilvl w:val="0"/>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Power-control-based solutions,</w:t>
      </w:r>
    </w:p>
    <w:p w14:paraId="3B635615" w14:textId="77777777" w:rsidR="00200FA2" w:rsidRPr="00200FA2" w:rsidRDefault="00200FA2">
      <w:pPr>
        <w:pStyle w:val="ListParagraph"/>
        <w:numPr>
          <w:ilvl w:val="0"/>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CLI mitigation via monitoring beams.</w:t>
      </w:r>
    </w:p>
    <w:p w14:paraId="6CEA2DCE" w14:textId="77777777" w:rsidR="00200FA2" w:rsidRPr="00200FA2" w:rsidRDefault="00200FA2" w:rsidP="00200FA2">
      <w:pPr>
        <w:rPr>
          <w:rFonts w:cs="Arial"/>
          <w:i/>
          <w:iCs/>
        </w:rPr>
      </w:pPr>
      <w:r w:rsidRPr="00200FA2">
        <w:rPr>
          <w:rFonts w:cs="Arial"/>
          <w:b/>
          <w:bCs/>
          <w:i/>
          <w:iCs/>
        </w:rPr>
        <w:t xml:space="preserve">Proposal 2. </w:t>
      </w:r>
      <w:r w:rsidRPr="00200FA2">
        <w:rPr>
          <w:rFonts w:cs="Arial"/>
          <w:i/>
          <w:iCs/>
        </w:rPr>
        <w:t xml:space="preserve">Consider enhancements to UE-to-UE co-channel CLI measurement based on supporting CLI measurement and reporting at the potential victim UE that includes distinguishing aggressor UEs. </w:t>
      </w:r>
    </w:p>
    <w:p w14:paraId="6EEC314B" w14:textId="77777777" w:rsidR="00200FA2" w:rsidRPr="00200FA2" w:rsidRDefault="00200FA2" w:rsidP="00200FA2">
      <w:pPr>
        <w:rPr>
          <w:rFonts w:cs="Arial"/>
          <w:i/>
          <w:iCs/>
        </w:rPr>
      </w:pPr>
      <w:r w:rsidRPr="00200FA2">
        <w:rPr>
          <w:rFonts w:cs="Arial"/>
          <w:b/>
          <w:bCs/>
          <w:i/>
          <w:iCs/>
        </w:rPr>
        <w:t xml:space="preserve">Proposal 3. </w:t>
      </w:r>
      <w:r w:rsidRPr="00200FA2">
        <w:rPr>
          <w:rFonts w:cs="Arial"/>
          <w:i/>
          <w:iCs/>
        </w:rPr>
        <w:t xml:space="preserve">Consider supporting Layer-1 UE-to-UE L1-CLI-RSSI along with delta-CLI-RSSI measurement and reporting. </w:t>
      </w:r>
    </w:p>
    <w:p w14:paraId="762BF504" w14:textId="77777777" w:rsidR="00200FA2" w:rsidRPr="00200FA2" w:rsidRDefault="00200FA2" w:rsidP="00200FA2">
      <w:pPr>
        <w:rPr>
          <w:rFonts w:cs="Arial"/>
          <w:i/>
          <w:iCs/>
        </w:rPr>
      </w:pPr>
      <w:r w:rsidRPr="00200FA2">
        <w:rPr>
          <w:rFonts w:cs="Arial"/>
          <w:b/>
          <w:bCs/>
          <w:i/>
          <w:iCs/>
        </w:rPr>
        <w:t xml:space="preserve">Proposal 4. </w:t>
      </w:r>
      <w:r w:rsidRPr="00200FA2">
        <w:rPr>
          <w:rFonts w:cs="Arial"/>
          <w:i/>
          <w:iCs/>
        </w:rPr>
        <w:t xml:space="preserve">Consider enhancements in joint beam management for enhanced CLI measurement between </w:t>
      </w:r>
      <w:proofErr w:type="spellStart"/>
      <w:r w:rsidRPr="00200FA2">
        <w:rPr>
          <w:rFonts w:cs="Arial"/>
          <w:i/>
          <w:iCs/>
        </w:rPr>
        <w:t>gNB</w:t>
      </w:r>
      <w:proofErr w:type="spellEnd"/>
      <w:r w:rsidRPr="00200FA2">
        <w:rPr>
          <w:rFonts w:cs="Arial"/>
          <w:i/>
          <w:iCs/>
        </w:rPr>
        <w:t xml:space="preserve">, victim UE, and aggressor UE for optimal beam selection or beam avoidance at the victim UE or aggressor UE, respectively. </w:t>
      </w:r>
    </w:p>
    <w:p w14:paraId="0F639484" w14:textId="77777777" w:rsidR="00200FA2" w:rsidRPr="00200FA2" w:rsidRDefault="00200FA2">
      <w:pPr>
        <w:pStyle w:val="ListParagraph"/>
        <w:numPr>
          <w:ilvl w:val="0"/>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 xml:space="preserve">Consider the victim UE reporting beams or panels that are preferred, as well as the ones that are not preferred.  </w:t>
      </w:r>
    </w:p>
    <w:p w14:paraId="7A453B61" w14:textId="77777777" w:rsidR="00200FA2" w:rsidRPr="00200FA2" w:rsidRDefault="00200FA2" w:rsidP="00200FA2">
      <w:pPr>
        <w:rPr>
          <w:rFonts w:cs="Arial"/>
          <w:i/>
          <w:iCs/>
        </w:rPr>
      </w:pPr>
      <w:r w:rsidRPr="00200FA2">
        <w:rPr>
          <w:rFonts w:cs="Arial"/>
          <w:b/>
          <w:bCs/>
          <w:i/>
          <w:iCs/>
        </w:rPr>
        <w:t>Proposal 5.</w:t>
      </w:r>
      <w:r w:rsidRPr="00200FA2">
        <w:rPr>
          <w:rFonts w:cs="Arial"/>
          <w:i/>
          <w:iCs/>
        </w:rPr>
        <w:t xml:space="preserve"> Consider preventive aspects in spatial domain coordination by determining the most and least </w:t>
      </w:r>
      <w:proofErr w:type="spellStart"/>
      <w:r w:rsidRPr="00200FA2">
        <w:rPr>
          <w:rFonts w:cs="Arial"/>
          <w:i/>
          <w:iCs/>
        </w:rPr>
        <w:t>favorable</w:t>
      </w:r>
      <w:proofErr w:type="spellEnd"/>
      <w:r w:rsidRPr="00200FA2">
        <w:rPr>
          <w:rFonts w:cs="Arial"/>
          <w:i/>
          <w:iCs/>
        </w:rPr>
        <w:t xml:space="preserve"> beam pairings between the victim and aggressor UEs.</w:t>
      </w:r>
    </w:p>
    <w:p w14:paraId="4D03F79E" w14:textId="77777777" w:rsidR="00200FA2" w:rsidRPr="00200FA2" w:rsidRDefault="00200FA2" w:rsidP="00200FA2">
      <w:pPr>
        <w:rPr>
          <w:rFonts w:cs="Arial"/>
          <w:i/>
          <w:iCs/>
        </w:rPr>
      </w:pPr>
      <w:r w:rsidRPr="00200FA2">
        <w:rPr>
          <w:rFonts w:cs="Arial"/>
          <w:b/>
          <w:bCs/>
          <w:i/>
          <w:iCs/>
        </w:rPr>
        <w:t>Proposal 6.</w:t>
      </w:r>
      <w:r w:rsidRPr="00200FA2">
        <w:rPr>
          <w:rFonts w:cs="Arial"/>
          <w:i/>
          <w:iCs/>
        </w:rPr>
        <w:t xml:space="preserve"> Consider CLI mitigation aspects in spatial domain coordination by determining beam pairing between victim UE and </w:t>
      </w:r>
      <w:proofErr w:type="spellStart"/>
      <w:r w:rsidRPr="00200FA2">
        <w:rPr>
          <w:rFonts w:cs="Arial"/>
          <w:i/>
          <w:iCs/>
        </w:rPr>
        <w:t>gNB</w:t>
      </w:r>
      <w:proofErr w:type="spellEnd"/>
      <w:r w:rsidRPr="00200FA2">
        <w:rPr>
          <w:rFonts w:cs="Arial"/>
          <w:i/>
          <w:iCs/>
        </w:rPr>
        <w:t xml:space="preserve"> based on directional CLI.</w:t>
      </w:r>
    </w:p>
    <w:p w14:paraId="2C3F3A26" w14:textId="77777777" w:rsidR="00200FA2" w:rsidRPr="00200FA2" w:rsidRDefault="00200FA2" w:rsidP="00200FA2">
      <w:pPr>
        <w:rPr>
          <w:rFonts w:cs="Arial"/>
          <w:i/>
          <w:iCs/>
        </w:rPr>
      </w:pPr>
      <w:r w:rsidRPr="00200FA2">
        <w:rPr>
          <w:rFonts w:cs="Arial"/>
          <w:b/>
          <w:bCs/>
          <w:i/>
          <w:iCs/>
        </w:rPr>
        <w:t xml:space="preserve">Proposal 7. </w:t>
      </w:r>
      <w:r w:rsidRPr="00200FA2">
        <w:rPr>
          <w:rFonts w:cs="Arial"/>
          <w:i/>
          <w:iCs/>
        </w:rPr>
        <w:t xml:space="preserve">Study a </w:t>
      </w:r>
      <w:proofErr w:type="gramStart"/>
      <w:r w:rsidRPr="00200FA2">
        <w:rPr>
          <w:rFonts w:cs="Arial"/>
          <w:i/>
          <w:iCs/>
        </w:rPr>
        <w:t>condition-based</w:t>
      </w:r>
      <w:proofErr w:type="gramEnd"/>
      <w:r w:rsidRPr="00200FA2">
        <w:rPr>
          <w:rFonts w:cs="Arial"/>
          <w:i/>
          <w:iCs/>
        </w:rPr>
        <w:t xml:space="preserve"> CLI monitoring </w:t>
      </w:r>
      <w:proofErr w:type="spellStart"/>
      <w:r w:rsidRPr="00200FA2">
        <w:rPr>
          <w:rFonts w:cs="Arial"/>
          <w:i/>
          <w:iCs/>
        </w:rPr>
        <w:t>behavior</w:t>
      </w:r>
      <w:proofErr w:type="spellEnd"/>
      <w:r w:rsidRPr="00200FA2">
        <w:rPr>
          <w:rFonts w:cs="Arial"/>
          <w:i/>
          <w:iCs/>
        </w:rPr>
        <w:t xml:space="preserve"> at the victim UE side, where the condition can at least include a case when the victim UE detects a PDSCH reception failure, which can initiate a CLI measurement/reporting </w:t>
      </w:r>
      <w:proofErr w:type="spellStart"/>
      <w:r w:rsidRPr="00200FA2">
        <w:rPr>
          <w:rFonts w:cs="Arial"/>
          <w:i/>
          <w:iCs/>
        </w:rPr>
        <w:t>behavior</w:t>
      </w:r>
      <w:proofErr w:type="spellEnd"/>
      <w:r w:rsidRPr="00200FA2">
        <w:rPr>
          <w:rFonts w:cs="Arial"/>
          <w:i/>
          <w:iCs/>
        </w:rPr>
        <w:t xml:space="preserve">. </w:t>
      </w:r>
    </w:p>
    <w:p w14:paraId="10A67DCD" w14:textId="77777777" w:rsidR="00200FA2" w:rsidRPr="00200FA2" w:rsidRDefault="00200FA2" w:rsidP="00200FA2">
      <w:pPr>
        <w:rPr>
          <w:rFonts w:cs="Arial"/>
          <w:i/>
          <w:iCs/>
        </w:rPr>
      </w:pPr>
      <w:r w:rsidRPr="00200FA2">
        <w:rPr>
          <w:rFonts w:cs="Arial"/>
          <w:b/>
          <w:bCs/>
          <w:i/>
          <w:iCs/>
        </w:rPr>
        <w:t xml:space="preserve">Proposal 8. </w:t>
      </w:r>
      <w:r w:rsidRPr="00200FA2">
        <w:rPr>
          <w:rFonts w:cs="Arial"/>
          <w:i/>
          <w:iCs/>
        </w:rPr>
        <w:t xml:space="preserve">Study timing alignment issues including </w:t>
      </w:r>
      <w:proofErr w:type="spellStart"/>
      <w:r w:rsidRPr="00200FA2">
        <w:rPr>
          <w:rFonts w:cs="Arial"/>
          <w:i/>
          <w:iCs/>
        </w:rPr>
        <w:t>subband</w:t>
      </w:r>
      <w:proofErr w:type="spellEnd"/>
      <w:r w:rsidRPr="00200FA2">
        <w:rPr>
          <w:rFonts w:cs="Arial"/>
          <w:i/>
          <w:iCs/>
        </w:rPr>
        <w:t xml:space="preserve"> non-overlapping full duplex scenarios. </w:t>
      </w:r>
    </w:p>
    <w:p w14:paraId="5E34EB93" w14:textId="77777777" w:rsidR="00200FA2" w:rsidRPr="00200FA2" w:rsidRDefault="00200FA2" w:rsidP="00200FA2">
      <w:pPr>
        <w:rPr>
          <w:rFonts w:cs="Arial"/>
          <w:i/>
          <w:iCs/>
        </w:rPr>
      </w:pPr>
      <w:r w:rsidRPr="00200FA2">
        <w:rPr>
          <w:rFonts w:cs="Arial"/>
          <w:b/>
          <w:bCs/>
          <w:i/>
          <w:iCs/>
        </w:rPr>
        <w:t xml:space="preserve">Proposal 9. </w:t>
      </w:r>
      <w:r w:rsidRPr="00200FA2">
        <w:rPr>
          <w:rFonts w:cs="Arial"/>
          <w:i/>
          <w:iCs/>
        </w:rPr>
        <w:t xml:space="preserve">Study power-control based mechanisms for UE-to-UE CLI mitigation and issues related to </w:t>
      </w:r>
      <w:proofErr w:type="spellStart"/>
      <w:r w:rsidRPr="00200FA2">
        <w:rPr>
          <w:rFonts w:cs="Arial"/>
          <w:i/>
          <w:iCs/>
        </w:rPr>
        <w:t>gNB’s</w:t>
      </w:r>
      <w:proofErr w:type="spellEnd"/>
      <w:r w:rsidRPr="00200FA2">
        <w:rPr>
          <w:rFonts w:cs="Arial"/>
          <w:i/>
          <w:iCs/>
        </w:rPr>
        <w:t xml:space="preserve"> transmission power backoff/adjustment. </w:t>
      </w:r>
    </w:p>
    <w:p w14:paraId="2F3E58E5" w14:textId="77777777" w:rsidR="00200FA2" w:rsidRPr="00200FA2" w:rsidRDefault="00200FA2" w:rsidP="00200FA2">
      <w:pPr>
        <w:rPr>
          <w:rFonts w:cs="Arial"/>
          <w:i/>
          <w:iCs/>
        </w:rPr>
      </w:pPr>
      <w:r w:rsidRPr="00200FA2">
        <w:rPr>
          <w:rFonts w:cs="Arial"/>
          <w:b/>
          <w:bCs/>
          <w:i/>
          <w:iCs/>
        </w:rPr>
        <w:t>Proposal 10.</w:t>
      </w:r>
      <w:r w:rsidRPr="00200FA2">
        <w:rPr>
          <w:rFonts w:cs="Arial"/>
          <w:i/>
          <w:iCs/>
        </w:rPr>
        <w:t xml:space="preserve"> Study cross link interference management schemes for flexible duplex. </w:t>
      </w:r>
    </w:p>
    <w:p w14:paraId="05E511A7" w14:textId="77777777" w:rsidR="00200FA2" w:rsidRPr="00200FA2" w:rsidRDefault="00200FA2" w:rsidP="00200FA2">
      <w:pPr>
        <w:rPr>
          <w:rFonts w:cs="Arial"/>
          <w:i/>
          <w:iCs/>
        </w:rPr>
      </w:pPr>
      <w:r w:rsidRPr="00200FA2">
        <w:rPr>
          <w:rFonts w:cs="Arial"/>
          <w:b/>
          <w:bCs/>
          <w:i/>
          <w:iCs/>
        </w:rPr>
        <w:lastRenderedPageBreak/>
        <w:t xml:space="preserve">Proposal 11. </w:t>
      </w:r>
      <w:r w:rsidRPr="00200FA2">
        <w:rPr>
          <w:rFonts w:cs="Arial"/>
          <w:i/>
          <w:iCs/>
        </w:rPr>
        <w:t xml:space="preserve">Study enhancements in beam failure detection and </w:t>
      </w:r>
      <w:proofErr w:type="gramStart"/>
      <w:r w:rsidRPr="00200FA2">
        <w:rPr>
          <w:rFonts w:cs="Arial"/>
          <w:i/>
          <w:iCs/>
        </w:rPr>
        <w:t>recovery, in case</w:t>
      </w:r>
      <w:proofErr w:type="gramEnd"/>
      <w:r w:rsidRPr="00200FA2">
        <w:rPr>
          <w:rFonts w:cs="Arial"/>
          <w:i/>
          <w:iCs/>
        </w:rPr>
        <w:t xml:space="preserve"> the beam failure is caused by UE-to-UE CLI. </w:t>
      </w:r>
    </w:p>
    <w:p w14:paraId="3FE2D995" w14:textId="77777777" w:rsidR="00200FA2" w:rsidRPr="00200FA2" w:rsidRDefault="00200FA2">
      <w:pPr>
        <w:pStyle w:val="ListParagraph"/>
        <w:numPr>
          <w:ilvl w:val="0"/>
          <w:numId w:val="13"/>
        </w:numPr>
        <w:spacing w:after="120" w:line="240" w:lineRule="auto"/>
        <w:contextualSpacing w:val="0"/>
        <w:jc w:val="both"/>
        <w:rPr>
          <w:rFonts w:ascii="Arial" w:hAnsi="Arial" w:cs="Arial"/>
          <w:i/>
          <w:iCs/>
          <w:sz w:val="20"/>
          <w:szCs w:val="20"/>
        </w:rPr>
      </w:pPr>
      <w:r w:rsidRPr="00200FA2">
        <w:rPr>
          <w:rFonts w:ascii="Arial" w:hAnsi="Arial" w:cs="Arial"/>
          <w:i/>
          <w:iCs/>
          <w:sz w:val="20"/>
          <w:szCs w:val="20"/>
        </w:rPr>
        <w:t xml:space="preserve">Consider panel switching mechanism as part of beam failure recovery procedure due to the nature of the UE-to-UE CLI. </w:t>
      </w:r>
    </w:p>
    <w:p w14:paraId="3DC4D7E3" w14:textId="439AE586" w:rsidR="00200FA2" w:rsidRPr="00200FA2" w:rsidRDefault="00200FA2" w:rsidP="00C6277A">
      <w:pPr>
        <w:tabs>
          <w:tab w:val="left" w:pos="0"/>
        </w:tabs>
        <w:rPr>
          <w:rFonts w:cs="Arial"/>
          <w:lang w:val="en-US"/>
        </w:rPr>
      </w:pPr>
    </w:p>
    <w:p w14:paraId="377E0382" w14:textId="105450B8" w:rsidR="00214E6A" w:rsidRPr="00D90A41" w:rsidRDefault="00214E6A" w:rsidP="00214E6A">
      <w:pPr>
        <w:pStyle w:val="Heading1"/>
      </w:pPr>
      <w:r w:rsidRPr="00D90A41">
        <w:t>References</w:t>
      </w:r>
    </w:p>
    <w:p w14:paraId="3F2EF74E" w14:textId="5AD5527D" w:rsidR="00F717FE" w:rsidRDefault="00F717FE" w:rsidP="00F717FE">
      <w:pPr>
        <w:pStyle w:val="Reference"/>
      </w:pPr>
      <w:r>
        <w:t>RP-220633, “Revised SID: Study on evolution of NR duplex operation”, CMCC.</w:t>
      </w:r>
    </w:p>
    <w:p w14:paraId="0FA5119E" w14:textId="77777777" w:rsidR="00200FA2" w:rsidRDefault="00200FA2" w:rsidP="00200FA2">
      <w:pPr>
        <w:pStyle w:val="Reference"/>
      </w:pPr>
      <w:r>
        <w:t>3GPP, Technical Spec 38.213, “NR; Physical layer procedures for control”</w:t>
      </w:r>
    </w:p>
    <w:p w14:paraId="4AA18D93" w14:textId="62953EFD" w:rsidR="00200FA2" w:rsidRDefault="00200FA2" w:rsidP="00200FA2">
      <w:pPr>
        <w:pStyle w:val="Reference"/>
      </w:pPr>
      <w:r>
        <w:t>RAN1, Chairman’s Notes, 3GPP TSG RAN WG1 Meeting #87, November 2016</w:t>
      </w:r>
    </w:p>
    <w:p w14:paraId="32C11C91" w14:textId="77777777" w:rsidR="00200FA2" w:rsidRDefault="00200FA2" w:rsidP="00200FA2">
      <w:pPr>
        <w:pStyle w:val="Reference"/>
      </w:pPr>
      <w:r>
        <w:t>3GPP, Technical Spec 38.133, “NR; Requirements for support of radio resource management”</w:t>
      </w:r>
    </w:p>
    <w:p w14:paraId="3571AA30" w14:textId="77777777" w:rsidR="00200FA2" w:rsidRDefault="00200FA2" w:rsidP="00200FA2">
      <w:pPr>
        <w:pStyle w:val="Reference"/>
      </w:pPr>
      <w:r>
        <w:t>RAN1, Chairman’s Notes, 3GPP TSG RAN WG1 Meeting #110bis-e, October 2022</w:t>
      </w:r>
    </w:p>
    <w:p w14:paraId="44CA64DE" w14:textId="6237661A" w:rsidR="00200FA2" w:rsidRDefault="00200FA2" w:rsidP="00200FA2">
      <w:pPr>
        <w:pStyle w:val="Reference"/>
      </w:pPr>
      <w:r>
        <w:t xml:space="preserve">R1-2211737, “Discussion on </w:t>
      </w:r>
      <w:proofErr w:type="spellStart"/>
      <w:r>
        <w:t>subband</w:t>
      </w:r>
      <w:proofErr w:type="spellEnd"/>
      <w:r>
        <w:t xml:space="preserve"> non-overlapping full duplex operations”, </w:t>
      </w:r>
      <w:proofErr w:type="spellStart"/>
      <w:r>
        <w:t>InterDigital</w:t>
      </w:r>
      <w:proofErr w:type="spellEnd"/>
    </w:p>
    <w:p w14:paraId="0254EEB5" w14:textId="0F564184" w:rsidR="00200FA2" w:rsidRDefault="00200FA2" w:rsidP="00200FA2">
      <w:pPr>
        <w:pStyle w:val="Reference"/>
        <w:numPr>
          <w:ilvl w:val="0"/>
          <w:numId w:val="0"/>
        </w:numPr>
        <w:ind w:left="567" w:hanging="567"/>
      </w:pPr>
    </w:p>
    <w:p w14:paraId="4F6DDEB8" w14:textId="7AE48B2A" w:rsidR="00200FA2" w:rsidRPr="00D90A41" w:rsidRDefault="00200FA2" w:rsidP="00200FA2">
      <w:pPr>
        <w:pStyle w:val="Heading1"/>
      </w:pPr>
      <w:r w:rsidRPr="00200FA2">
        <w:t>Appendix – Simulation assumptions</w:t>
      </w:r>
    </w:p>
    <w:p w14:paraId="62A003C7" w14:textId="77777777" w:rsidR="00200FA2" w:rsidRPr="00200FA2" w:rsidRDefault="00200FA2" w:rsidP="00200FA2">
      <w:pPr>
        <w:spacing w:after="0"/>
        <w:jc w:val="center"/>
        <w:rPr>
          <w:rFonts w:cs="Arial"/>
        </w:rPr>
      </w:pPr>
      <w:r w:rsidRPr="00200FA2">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200FA2" w:rsidRPr="00200FA2" w14:paraId="7D333611" w14:textId="77777777" w:rsidTr="00E46E0E">
        <w:trPr>
          <w:jc w:val="center"/>
        </w:trPr>
        <w:tc>
          <w:tcPr>
            <w:tcW w:w="3595" w:type="dxa"/>
            <w:shd w:val="clear" w:color="auto" w:fill="B4C6E7" w:themeFill="accent1" w:themeFillTint="66"/>
          </w:tcPr>
          <w:p w14:paraId="2FBDE1A1" w14:textId="77777777" w:rsidR="00200FA2" w:rsidRPr="00200FA2" w:rsidRDefault="00200FA2" w:rsidP="00200FA2">
            <w:pPr>
              <w:spacing w:after="0"/>
              <w:rPr>
                <w:rFonts w:cs="Arial"/>
                <w:b/>
              </w:rPr>
            </w:pPr>
          </w:p>
        </w:tc>
        <w:tc>
          <w:tcPr>
            <w:tcW w:w="5864" w:type="dxa"/>
            <w:shd w:val="clear" w:color="auto" w:fill="B4C6E7" w:themeFill="accent1" w:themeFillTint="66"/>
          </w:tcPr>
          <w:p w14:paraId="2285AC64" w14:textId="77777777" w:rsidR="00200FA2" w:rsidRPr="00200FA2" w:rsidRDefault="00200FA2" w:rsidP="00200FA2">
            <w:pPr>
              <w:spacing w:after="0"/>
              <w:rPr>
                <w:rFonts w:cs="Arial"/>
                <w:b/>
              </w:rPr>
            </w:pPr>
            <w:r w:rsidRPr="00200FA2">
              <w:rPr>
                <w:rFonts w:cs="Arial"/>
                <w:b/>
              </w:rPr>
              <w:t>Indoor Sub-7GHz</w:t>
            </w:r>
          </w:p>
        </w:tc>
      </w:tr>
      <w:tr w:rsidR="00200FA2" w:rsidRPr="00200FA2" w14:paraId="18D49F53" w14:textId="77777777" w:rsidTr="00E46E0E">
        <w:trPr>
          <w:jc w:val="center"/>
        </w:trPr>
        <w:tc>
          <w:tcPr>
            <w:tcW w:w="3595" w:type="dxa"/>
            <w:shd w:val="clear" w:color="auto" w:fill="auto"/>
          </w:tcPr>
          <w:p w14:paraId="30AE1DCB" w14:textId="77777777" w:rsidR="00200FA2" w:rsidRPr="00200FA2" w:rsidRDefault="00200FA2" w:rsidP="00200FA2">
            <w:pPr>
              <w:spacing w:after="0"/>
              <w:rPr>
                <w:rFonts w:cs="Arial"/>
              </w:rPr>
            </w:pPr>
            <w:r w:rsidRPr="00200FA2">
              <w:rPr>
                <w:rFonts w:cs="Arial"/>
              </w:rPr>
              <w:t>Layout</w:t>
            </w:r>
          </w:p>
        </w:tc>
        <w:tc>
          <w:tcPr>
            <w:tcW w:w="5864" w:type="dxa"/>
            <w:shd w:val="clear" w:color="auto" w:fill="auto"/>
          </w:tcPr>
          <w:p w14:paraId="22B9B2B7" w14:textId="77777777" w:rsidR="00200FA2" w:rsidRPr="00200FA2" w:rsidRDefault="00200FA2" w:rsidP="00200FA2">
            <w:pPr>
              <w:spacing w:after="0"/>
              <w:rPr>
                <w:rFonts w:cs="Arial"/>
              </w:rPr>
            </w:pPr>
            <w:r w:rsidRPr="00200FA2">
              <w:rPr>
                <w:rFonts w:cs="Arial"/>
              </w:rPr>
              <w:t>(</w:t>
            </w:r>
            <w:proofErr w:type="spellStart"/>
            <w:proofErr w:type="gramStart"/>
            <w:r w:rsidRPr="00200FA2">
              <w:rPr>
                <w:rFonts w:cs="Arial"/>
              </w:rPr>
              <w:t>a,b</w:t>
            </w:r>
            <w:proofErr w:type="gramEnd"/>
            <w:r w:rsidRPr="00200FA2">
              <w:rPr>
                <w:rFonts w:cs="Arial"/>
              </w:rPr>
              <w:t>,c,d</w:t>
            </w:r>
            <w:proofErr w:type="spellEnd"/>
            <w:r w:rsidRPr="00200FA2">
              <w:rPr>
                <w:rFonts w:cs="Arial"/>
              </w:rPr>
              <w:t>)=(20,40,20,40)</w:t>
            </w:r>
          </w:p>
          <w:p w14:paraId="4909D246" w14:textId="77777777" w:rsidR="00200FA2" w:rsidRPr="00200FA2" w:rsidRDefault="00200FA2" w:rsidP="00200FA2">
            <w:pPr>
              <w:spacing w:after="0"/>
              <w:rPr>
                <w:rFonts w:cs="Arial"/>
              </w:rPr>
            </w:pPr>
            <w:r w:rsidRPr="00200FA2">
              <w:rPr>
                <w:rFonts w:cs="Arial"/>
                <w:noProof/>
              </w:rPr>
              <w:drawing>
                <wp:inline distT="0" distB="0" distL="0" distR="0" wp14:anchorId="23D88671" wp14:editId="44AA7192">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200FA2" w:rsidRPr="00200FA2" w14:paraId="427124AD" w14:textId="77777777" w:rsidTr="00E46E0E">
        <w:trPr>
          <w:jc w:val="center"/>
        </w:trPr>
        <w:tc>
          <w:tcPr>
            <w:tcW w:w="3595" w:type="dxa"/>
            <w:shd w:val="clear" w:color="auto" w:fill="auto"/>
          </w:tcPr>
          <w:p w14:paraId="2FF0E91A" w14:textId="77777777" w:rsidR="00200FA2" w:rsidRPr="00200FA2" w:rsidRDefault="00200FA2" w:rsidP="00200FA2">
            <w:pPr>
              <w:spacing w:after="0"/>
              <w:rPr>
                <w:rFonts w:cs="Arial"/>
              </w:rPr>
            </w:pPr>
            <w:r w:rsidRPr="00200FA2">
              <w:rPr>
                <w:rFonts w:cs="Arial"/>
              </w:rPr>
              <w:t>Carrier Frequency</w:t>
            </w:r>
          </w:p>
        </w:tc>
        <w:tc>
          <w:tcPr>
            <w:tcW w:w="5864" w:type="dxa"/>
            <w:shd w:val="clear" w:color="auto" w:fill="auto"/>
          </w:tcPr>
          <w:p w14:paraId="482B5BE4" w14:textId="77777777" w:rsidR="00200FA2" w:rsidRPr="00200FA2" w:rsidRDefault="00200FA2" w:rsidP="00200FA2">
            <w:pPr>
              <w:spacing w:after="0"/>
              <w:rPr>
                <w:rFonts w:cs="Arial"/>
              </w:rPr>
            </w:pPr>
            <w:r w:rsidRPr="00200FA2">
              <w:rPr>
                <w:rFonts w:cs="Arial"/>
              </w:rPr>
              <w:t>5GHz</w:t>
            </w:r>
          </w:p>
        </w:tc>
      </w:tr>
      <w:tr w:rsidR="00200FA2" w:rsidRPr="00200FA2" w14:paraId="205C53F8" w14:textId="77777777" w:rsidTr="00E46E0E">
        <w:trPr>
          <w:jc w:val="center"/>
        </w:trPr>
        <w:tc>
          <w:tcPr>
            <w:tcW w:w="3595" w:type="dxa"/>
            <w:shd w:val="clear" w:color="auto" w:fill="auto"/>
          </w:tcPr>
          <w:p w14:paraId="0998DB71" w14:textId="77777777" w:rsidR="00200FA2" w:rsidRPr="00200FA2" w:rsidRDefault="00200FA2" w:rsidP="00200FA2">
            <w:pPr>
              <w:spacing w:after="0"/>
              <w:rPr>
                <w:rFonts w:cs="Arial"/>
              </w:rPr>
            </w:pPr>
            <w:r w:rsidRPr="00200FA2">
              <w:rPr>
                <w:rFonts w:cs="Arial"/>
              </w:rPr>
              <w:t>Carrier Channel Bandwidth</w:t>
            </w:r>
          </w:p>
        </w:tc>
        <w:tc>
          <w:tcPr>
            <w:tcW w:w="5864" w:type="dxa"/>
            <w:shd w:val="clear" w:color="auto" w:fill="auto"/>
          </w:tcPr>
          <w:p w14:paraId="48272251" w14:textId="77777777" w:rsidR="00200FA2" w:rsidRPr="00200FA2" w:rsidRDefault="00200FA2" w:rsidP="00200FA2">
            <w:pPr>
              <w:spacing w:after="0"/>
              <w:rPr>
                <w:rFonts w:cs="Arial"/>
              </w:rPr>
            </w:pPr>
            <w:r w:rsidRPr="00200FA2">
              <w:rPr>
                <w:rFonts w:cs="Arial"/>
              </w:rPr>
              <w:t>20MHz baseline</w:t>
            </w:r>
          </w:p>
        </w:tc>
      </w:tr>
      <w:tr w:rsidR="00200FA2" w:rsidRPr="00200FA2" w14:paraId="28164702" w14:textId="77777777" w:rsidTr="00E46E0E">
        <w:trPr>
          <w:jc w:val="center"/>
        </w:trPr>
        <w:tc>
          <w:tcPr>
            <w:tcW w:w="3595" w:type="dxa"/>
            <w:shd w:val="clear" w:color="auto" w:fill="auto"/>
          </w:tcPr>
          <w:p w14:paraId="110E2312" w14:textId="77777777" w:rsidR="00200FA2" w:rsidRPr="00200FA2" w:rsidRDefault="00200FA2" w:rsidP="00200FA2">
            <w:pPr>
              <w:spacing w:after="0"/>
              <w:rPr>
                <w:rFonts w:cs="Arial"/>
              </w:rPr>
            </w:pPr>
            <w:r w:rsidRPr="00200FA2">
              <w:rPr>
                <w:rFonts w:cs="Arial"/>
              </w:rPr>
              <w:t>Number of carriers</w:t>
            </w:r>
          </w:p>
        </w:tc>
        <w:tc>
          <w:tcPr>
            <w:tcW w:w="5864" w:type="dxa"/>
            <w:shd w:val="clear" w:color="auto" w:fill="auto"/>
          </w:tcPr>
          <w:p w14:paraId="66641213" w14:textId="77777777" w:rsidR="00200FA2" w:rsidRPr="00200FA2" w:rsidRDefault="00200FA2" w:rsidP="00200FA2">
            <w:pPr>
              <w:spacing w:after="0"/>
              <w:rPr>
                <w:rFonts w:cs="Arial"/>
              </w:rPr>
            </w:pPr>
            <w:r w:rsidRPr="00200FA2">
              <w:rPr>
                <w:rFonts w:cs="Arial"/>
              </w:rPr>
              <w:t>1</w:t>
            </w:r>
          </w:p>
        </w:tc>
      </w:tr>
      <w:tr w:rsidR="00200FA2" w:rsidRPr="00200FA2" w14:paraId="3A81C73E" w14:textId="77777777" w:rsidTr="00E46E0E">
        <w:trPr>
          <w:jc w:val="center"/>
        </w:trPr>
        <w:tc>
          <w:tcPr>
            <w:tcW w:w="3595" w:type="dxa"/>
            <w:shd w:val="clear" w:color="auto" w:fill="auto"/>
          </w:tcPr>
          <w:p w14:paraId="79AEE4F9" w14:textId="77777777" w:rsidR="00200FA2" w:rsidRPr="00200FA2" w:rsidRDefault="00200FA2" w:rsidP="00200FA2">
            <w:pPr>
              <w:spacing w:after="0"/>
              <w:rPr>
                <w:rFonts w:cs="Arial"/>
              </w:rPr>
            </w:pPr>
            <w:r w:rsidRPr="00200FA2">
              <w:rPr>
                <w:rFonts w:cs="Arial"/>
                <w:lang w:eastAsia="x-none"/>
              </w:rPr>
              <w:t>Number of users per operator</w:t>
            </w:r>
          </w:p>
        </w:tc>
        <w:tc>
          <w:tcPr>
            <w:tcW w:w="5864" w:type="dxa"/>
            <w:shd w:val="clear" w:color="auto" w:fill="auto"/>
          </w:tcPr>
          <w:p w14:paraId="45932F13" w14:textId="77777777" w:rsidR="00200FA2" w:rsidRPr="00200FA2" w:rsidRDefault="00200FA2" w:rsidP="00200FA2">
            <w:pPr>
              <w:spacing w:after="0"/>
              <w:rPr>
                <w:rFonts w:cs="Arial"/>
              </w:rPr>
            </w:pPr>
            <w:r w:rsidRPr="00200FA2">
              <w:rPr>
                <w:rFonts w:cs="Arial"/>
              </w:rPr>
              <w:t xml:space="preserve">10 per </w:t>
            </w:r>
            <w:proofErr w:type="spellStart"/>
            <w:r w:rsidRPr="00200FA2">
              <w:rPr>
                <w:rFonts w:cs="Arial"/>
              </w:rPr>
              <w:t>gNB</w:t>
            </w:r>
            <w:proofErr w:type="spellEnd"/>
            <w:r w:rsidRPr="00200FA2">
              <w:rPr>
                <w:rFonts w:cs="Arial"/>
              </w:rPr>
              <w:t xml:space="preserve"> per 20MHz</w:t>
            </w:r>
          </w:p>
        </w:tc>
      </w:tr>
      <w:tr w:rsidR="00200FA2" w:rsidRPr="00200FA2" w14:paraId="02C2CC5F" w14:textId="77777777" w:rsidTr="00E46E0E">
        <w:trPr>
          <w:jc w:val="center"/>
        </w:trPr>
        <w:tc>
          <w:tcPr>
            <w:tcW w:w="3595" w:type="dxa"/>
            <w:shd w:val="clear" w:color="auto" w:fill="auto"/>
          </w:tcPr>
          <w:p w14:paraId="1FC5591C" w14:textId="77777777" w:rsidR="00200FA2" w:rsidRPr="00200FA2" w:rsidRDefault="00200FA2" w:rsidP="00200FA2">
            <w:pPr>
              <w:spacing w:after="0"/>
              <w:rPr>
                <w:rFonts w:cs="Arial"/>
              </w:rPr>
            </w:pPr>
            <w:r w:rsidRPr="00200FA2">
              <w:rPr>
                <w:rFonts w:cs="Arial"/>
              </w:rPr>
              <w:t>SCS</w:t>
            </w:r>
          </w:p>
        </w:tc>
        <w:tc>
          <w:tcPr>
            <w:tcW w:w="5864" w:type="dxa"/>
            <w:shd w:val="clear" w:color="auto" w:fill="auto"/>
          </w:tcPr>
          <w:p w14:paraId="70F85ADD" w14:textId="77777777" w:rsidR="00200FA2" w:rsidRPr="00200FA2" w:rsidRDefault="00200FA2" w:rsidP="00200FA2">
            <w:pPr>
              <w:spacing w:after="0"/>
              <w:rPr>
                <w:rFonts w:cs="Arial"/>
              </w:rPr>
            </w:pPr>
            <w:r w:rsidRPr="00200FA2">
              <w:rPr>
                <w:rFonts w:cs="Arial"/>
              </w:rPr>
              <w:t xml:space="preserve">30 </w:t>
            </w:r>
            <w:proofErr w:type="spellStart"/>
            <w:r w:rsidRPr="00200FA2">
              <w:rPr>
                <w:rFonts w:cs="Arial"/>
              </w:rPr>
              <w:t>KHz</w:t>
            </w:r>
            <w:proofErr w:type="spellEnd"/>
          </w:p>
        </w:tc>
      </w:tr>
      <w:tr w:rsidR="00200FA2" w:rsidRPr="00200FA2" w14:paraId="147ED1E3" w14:textId="77777777" w:rsidTr="00E46E0E">
        <w:trPr>
          <w:jc w:val="center"/>
        </w:trPr>
        <w:tc>
          <w:tcPr>
            <w:tcW w:w="3595" w:type="dxa"/>
            <w:shd w:val="clear" w:color="auto" w:fill="auto"/>
          </w:tcPr>
          <w:p w14:paraId="06270433" w14:textId="77777777" w:rsidR="00200FA2" w:rsidRPr="00200FA2" w:rsidRDefault="00200FA2" w:rsidP="00200FA2">
            <w:pPr>
              <w:spacing w:after="0"/>
              <w:rPr>
                <w:rFonts w:cs="Arial"/>
              </w:rPr>
            </w:pPr>
            <w:r w:rsidRPr="00200FA2">
              <w:rPr>
                <w:rFonts w:cs="Arial"/>
              </w:rPr>
              <w:t>Channel Model</w:t>
            </w:r>
          </w:p>
        </w:tc>
        <w:tc>
          <w:tcPr>
            <w:tcW w:w="5864" w:type="dxa"/>
            <w:shd w:val="clear" w:color="auto" w:fill="auto"/>
          </w:tcPr>
          <w:p w14:paraId="21D8C809" w14:textId="77777777" w:rsidR="00200FA2" w:rsidRPr="00200FA2" w:rsidRDefault="00200FA2" w:rsidP="00200FA2">
            <w:pPr>
              <w:spacing w:after="0"/>
              <w:rPr>
                <w:rFonts w:cs="Arial"/>
              </w:rPr>
            </w:pPr>
            <w:r w:rsidRPr="00200FA2">
              <w:rPr>
                <w:rFonts w:cs="Arial"/>
              </w:rPr>
              <w:t xml:space="preserve">NR </w:t>
            </w:r>
            <w:proofErr w:type="spellStart"/>
            <w:r w:rsidRPr="00200FA2">
              <w:rPr>
                <w:rFonts w:cs="Arial"/>
              </w:rPr>
              <w:t>InH</w:t>
            </w:r>
            <w:proofErr w:type="spellEnd"/>
            <w:r w:rsidRPr="00200FA2">
              <w:rPr>
                <w:rFonts w:cs="Arial"/>
              </w:rPr>
              <w:t xml:space="preserve"> Mixed Office model</w:t>
            </w:r>
          </w:p>
        </w:tc>
      </w:tr>
      <w:tr w:rsidR="00200FA2" w:rsidRPr="00200FA2" w14:paraId="679E1D74" w14:textId="77777777" w:rsidTr="00E46E0E">
        <w:trPr>
          <w:jc w:val="center"/>
        </w:trPr>
        <w:tc>
          <w:tcPr>
            <w:tcW w:w="3595" w:type="dxa"/>
            <w:shd w:val="clear" w:color="auto" w:fill="auto"/>
          </w:tcPr>
          <w:p w14:paraId="6046A6C6" w14:textId="77777777" w:rsidR="00200FA2" w:rsidRPr="00200FA2" w:rsidRDefault="00200FA2" w:rsidP="00200FA2">
            <w:pPr>
              <w:spacing w:after="0"/>
              <w:rPr>
                <w:rFonts w:cs="Arial"/>
              </w:rPr>
            </w:pPr>
            <w:r w:rsidRPr="00200FA2">
              <w:rPr>
                <w:rFonts w:cs="Arial"/>
              </w:rPr>
              <w:t>BS Tx Power</w:t>
            </w:r>
          </w:p>
        </w:tc>
        <w:tc>
          <w:tcPr>
            <w:tcW w:w="5864" w:type="dxa"/>
            <w:shd w:val="clear" w:color="auto" w:fill="auto"/>
          </w:tcPr>
          <w:p w14:paraId="1178F00F"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5C21336D" w14:textId="77777777" w:rsidTr="00E46E0E">
        <w:trPr>
          <w:jc w:val="center"/>
        </w:trPr>
        <w:tc>
          <w:tcPr>
            <w:tcW w:w="3595" w:type="dxa"/>
            <w:shd w:val="clear" w:color="auto" w:fill="auto"/>
          </w:tcPr>
          <w:p w14:paraId="37DCD936" w14:textId="77777777" w:rsidR="00200FA2" w:rsidRPr="00200FA2" w:rsidRDefault="00200FA2" w:rsidP="00200FA2">
            <w:pPr>
              <w:spacing w:after="0"/>
              <w:rPr>
                <w:rFonts w:cs="Arial"/>
              </w:rPr>
            </w:pPr>
            <w:r w:rsidRPr="00200FA2">
              <w:rPr>
                <w:rFonts w:cs="Arial"/>
              </w:rPr>
              <w:t>UE Tx Power</w:t>
            </w:r>
          </w:p>
        </w:tc>
        <w:tc>
          <w:tcPr>
            <w:tcW w:w="5864" w:type="dxa"/>
            <w:shd w:val="clear" w:color="auto" w:fill="auto"/>
          </w:tcPr>
          <w:p w14:paraId="2E85BFF0"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2EDB361E" w14:textId="77777777" w:rsidTr="00E46E0E">
        <w:trPr>
          <w:jc w:val="center"/>
        </w:trPr>
        <w:tc>
          <w:tcPr>
            <w:tcW w:w="3595" w:type="dxa"/>
            <w:shd w:val="clear" w:color="auto" w:fill="auto"/>
          </w:tcPr>
          <w:p w14:paraId="00BEC341" w14:textId="77777777" w:rsidR="00200FA2" w:rsidRPr="00200FA2" w:rsidRDefault="00200FA2" w:rsidP="00200FA2">
            <w:pPr>
              <w:spacing w:after="0"/>
              <w:rPr>
                <w:rFonts w:cs="Arial"/>
              </w:rPr>
            </w:pPr>
            <w:r w:rsidRPr="00200FA2">
              <w:rPr>
                <w:rFonts w:cs="Arial"/>
              </w:rPr>
              <w:t>BS Antenna gain</w:t>
            </w:r>
          </w:p>
        </w:tc>
        <w:tc>
          <w:tcPr>
            <w:tcW w:w="5864" w:type="dxa"/>
            <w:shd w:val="clear" w:color="auto" w:fill="auto"/>
          </w:tcPr>
          <w:p w14:paraId="3155423F" w14:textId="77777777" w:rsidR="00200FA2" w:rsidRPr="00200FA2" w:rsidRDefault="00200FA2" w:rsidP="00200FA2">
            <w:pPr>
              <w:spacing w:after="0"/>
              <w:rPr>
                <w:rFonts w:cs="Arial"/>
              </w:rPr>
            </w:pPr>
            <w:r w:rsidRPr="00200FA2">
              <w:rPr>
                <w:rFonts w:cs="Arial"/>
              </w:rPr>
              <w:t xml:space="preserve">0dBi   </w:t>
            </w:r>
          </w:p>
        </w:tc>
      </w:tr>
      <w:tr w:rsidR="00200FA2" w:rsidRPr="00200FA2" w14:paraId="078C49EA" w14:textId="77777777" w:rsidTr="00E46E0E">
        <w:trPr>
          <w:jc w:val="center"/>
        </w:trPr>
        <w:tc>
          <w:tcPr>
            <w:tcW w:w="3595" w:type="dxa"/>
            <w:shd w:val="clear" w:color="auto" w:fill="auto"/>
          </w:tcPr>
          <w:p w14:paraId="2AB7E9F7" w14:textId="77777777" w:rsidR="00200FA2" w:rsidRPr="00200FA2" w:rsidRDefault="00200FA2" w:rsidP="00200FA2">
            <w:pPr>
              <w:spacing w:after="0"/>
              <w:rPr>
                <w:rFonts w:cs="Arial"/>
              </w:rPr>
            </w:pPr>
            <w:r w:rsidRPr="00200FA2">
              <w:rPr>
                <w:rFonts w:cs="Arial"/>
              </w:rPr>
              <w:t>UE Antenna gain</w:t>
            </w:r>
          </w:p>
        </w:tc>
        <w:tc>
          <w:tcPr>
            <w:tcW w:w="5864" w:type="dxa"/>
            <w:shd w:val="clear" w:color="auto" w:fill="auto"/>
          </w:tcPr>
          <w:p w14:paraId="6C976861" w14:textId="77777777" w:rsidR="00200FA2" w:rsidRPr="00200FA2" w:rsidRDefault="00200FA2" w:rsidP="00200FA2">
            <w:pPr>
              <w:spacing w:after="0"/>
              <w:rPr>
                <w:rFonts w:cs="Arial"/>
              </w:rPr>
            </w:pPr>
            <w:r w:rsidRPr="00200FA2">
              <w:rPr>
                <w:rFonts w:cs="Arial"/>
              </w:rPr>
              <w:t xml:space="preserve">0 </w:t>
            </w:r>
            <w:proofErr w:type="spellStart"/>
            <w:r w:rsidRPr="00200FA2">
              <w:rPr>
                <w:rFonts w:cs="Arial"/>
              </w:rPr>
              <w:t>dBi</w:t>
            </w:r>
            <w:proofErr w:type="spellEnd"/>
          </w:p>
        </w:tc>
      </w:tr>
      <w:tr w:rsidR="00200FA2" w:rsidRPr="00200FA2" w14:paraId="21A23D44" w14:textId="77777777" w:rsidTr="00E46E0E">
        <w:trPr>
          <w:jc w:val="center"/>
        </w:trPr>
        <w:tc>
          <w:tcPr>
            <w:tcW w:w="3595" w:type="dxa"/>
            <w:shd w:val="clear" w:color="auto" w:fill="auto"/>
          </w:tcPr>
          <w:p w14:paraId="2BFC4AD5" w14:textId="77777777" w:rsidR="00200FA2" w:rsidRPr="00200FA2" w:rsidRDefault="00200FA2" w:rsidP="00200FA2">
            <w:pPr>
              <w:spacing w:after="0"/>
              <w:rPr>
                <w:rFonts w:cs="Arial"/>
              </w:rPr>
            </w:pPr>
            <w:r w:rsidRPr="00200FA2">
              <w:rPr>
                <w:rFonts w:cs="Arial"/>
              </w:rPr>
              <w:t>BS Noise Figure</w:t>
            </w:r>
          </w:p>
        </w:tc>
        <w:tc>
          <w:tcPr>
            <w:tcW w:w="5864" w:type="dxa"/>
            <w:shd w:val="clear" w:color="auto" w:fill="auto"/>
          </w:tcPr>
          <w:p w14:paraId="08CFA965" w14:textId="77777777" w:rsidR="00200FA2" w:rsidRPr="00200FA2" w:rsidRDefault="00200FA2" w:rsidP="00200FA2">
            <w:pPr>
              <w:spacing w:after="0"/>
              <w:rPr>
                <w:rFonts w:cs="Arial"/>
              </w:rPr>
            </w:pPr>
            <w:r w:rsidRPr="00200FA2">
              <w:rPr>
                <w:rFonts w:cs="Arial"/>
              </w:rPr>
              <w:t>5dB</w:t>
            </w:r>
          </w:p>
        </w:tc>
      </w:tr>
      <w:tr w:rsidR="00200FA2" w:rsidRPr="00200FA2" w14:paraId="615BC11E" w14:textId="77777777" w:rsidTr="00E46E0E">
        <w:trPr>
          <w:jc w:val="center"/>
        </w:trPr>
        <w:tc>
          <w:tcPr>
            <w:tcW w:w="3595" w:type="dxa"/>
            <w:shd w:val="clear" w:color="auto" w:fill="auto"/>
          </w:tcPr>
          <w:p w14:paraId="68152EAB" w14:textId="77777777" w:rsidR="00200FA2" w:rsidRPr="00200FA2" w:rsidRDefault="00200FA2" w:rsidP="00200FA2">
            <w:pPr>
              <w:spacing w:after="0"/>
              <w:rPr>
                <w:rFonts w:cs="Arial"/>
              </w:rPr>
            </w:pPr>
            <w:r w:rsidRPr="00200FA2">
              <w:rPr>
                <w:rFonts w:cs="Arial"/>
              </w:rPr>
              <w:t>UE Receiver Noise Figure</w:t>
            </w:r>
          </w:p>
        </w:tc>
        <w:tc>
          <w:tcPr>
            <w:tcW w:w="5864" w:type="dxa"/>
            <w:shd w:val="clear" w:color="auto" w:fill="auto"/>
          </w:tcPr>
          <w:p w14:paraId="0FAC5594" w14:textId="77777777" w:rsidR="00200FA2" w:rsidRPr="00200FA2" w:rsidRDefault="00200FA2" w:rsidP="00200FA2">
            <w:pPr>
              <w:spacing w:after="0"/>
              <w:rPr>
                <w:rFonts w:cs="Arial"/>
              </w:rPr>
            </w:pPr>
            <w:r w:rsidRPr="00200FA2">
              <w:rPr>
                <w:rFonts w:cs="Arial"/>
              </w:rPr>
              <w:t>9dB</w:t>
            </w:r>
          </w:p>
        </w:tc>
      </w:tr>
      <w:tr w:rsidR="00200FA2" w:rsidRPr="00200FA2" w14:paraId="3C59C3C5" w14:textId="77777777" w:rsidTr="00E46E0E">
        <w:trPr>
          <w:jc w:val="center"/>
        </w:trPr>
        <w:tc>
          <w:tcPr>
            <w:tcW w:w="3595" w:type="dxa"/>
            <w:shd w:val="clear" w:color="auto" w:fill="auto"/>
          </w:tcPr>
          <w:p w14:paraId="180C7823" w14:textId="77777777" w:rsidR="00200FA2" w:rsidRPr="00200FA2" w:rsidRDefault="00200FA2" w:rsidP="00200FA2">
            <w:pPr>
              <w:spacing w:after="0"/>
              <w:rPr>
                <w:rFonts w:cs="Arial"/>
              </w:rPr>
            </w:pPr>
            <w:r w:rsidRPr="00200FA2">
              <w:rPr>
                <w:rFonts w:cs="Arial"/>
              </w:rPr>
              <w:t>UE receiver</w:t>
            </w:r>
          </w:p>
        </w:tc>
        <w:tc>
          <w:tcPr>
            <w:tcW w:w="5864" w:type="dxa"/>
            <w:shd w:val="clear" w:color="auto" w:fill="auto"/>
          </w:tcPr>
          <w:p w14:paraId="3169A132" w14:textId="77777777" w:rsidR="00200FA2" w:rsidRPr="00200FA2" w:rsidRDefault="00200FA2" w:rsidP="00200FA2">
            <w:pPr>
              <w:spacing w:after="0"/>
              <w:rPr>
                <w:rFonts w:cs="Arial"/>
              </w:rPr>
            </w:pPr>
            <w:r w:rsidRPr="00200FA2">
              <w:rPr>
                <w:rFonts w:cs="Arial"/>
              </w:rPr>
              <w:t>MMSE-IRC</w:t>
            </w:r>
          </w:p>
        </w:tc>
      </w:tr>
      <w:tr w:rsidR="00200FA2" w:rsidRPr="00200FA2" w14:paraId="579A1DFB" w14:textId="77777777" w:rsidTr="00E46E0E">
        <w:trPr>
          <w:jc w:val="center"/>
        </w:trPr>
        <w:tc>
          <w:tcPr>
            <w:tcW w:w="3595" w:type="dxa"/>
            <w:shd w:val="clear" w:color="auto" w:fill="auto"/>
          </w:tcPr>
          <w:p w14:paraId="5AB836C7" w14:textId="77777777" w:rsidR="00200FA2" w:rsidRPr="00200FA2" w:rsidRDefault="00200FA2" w:rsidP="00200FA2">
            <w:pPr>
              <w:spacing w:after="0"/>
              <w:rPr>
                <w:rFonts w:cs="Arial"/>
              </w:rPr>
            </w:pPr>
            <w:r w:rsidRPr="00200FA2">
              <w:rPr>
                <w:rFonts w:cs="Arial"/>
              </w:rPr>
              <w:t>BS antenna Array configuration</w:t>
            </w:r>
          </w:p>
        </w:tc>
        <w:tc>
          <w:tcPr>
            <w:tcW w:w="5864" w:type="dxa"/>
            <w:shd w:val="clear" w:color="auto" w:fill="auto"/>
          </w:tcPr>
          <w:p w14:paraId="681A64CE" w14:textId="77777777" w:rsidR="00200FA2" w:rsidRPr="00200FA2" w:rsidRDefault="00200FA2" w:rsidP="00200FA2">
            <w:pPr>
              <w:spacing w:after="0"/>
              <w:rPr>
                <w:rFonts w:cs="Arial"/>
                <w:lang w:val="sv-SE"/>
              </w:rPr>
            </w:pPr>
            <w:r w:rsidRPr="00200FA2">
              <w:rPr>
                <w:rFonts w:cs="Arial"/>
                <w:lang w:val="sv-SE"/>
              </w:rPr>
              <w:t>(M, N, P, M</w:t>
            </w:r>
            <w:r w:rsidRPr="00200FA2">
              <w:rPr>
                <w:rFonts w:cs="Arial"/>
                <w:vertAlign w:val="subscript"/>
                <w:lang w:val="sv-SE"/>
              </w:rPr>
              <w:t>g</w:t>
            </w:r>
            <w:r w:rsidRPr="00200FA2">
              <w:rPr>
                <w:rFonts w:cs="Arial"/>
                <w:lang w:val="sv-SE"/>
              </w:rPr>
              <w:t>, N</w:t>
            </w:r>
            <w:r w:rsidRPr="00200FA2">
              <w:rPr>
                <w:rFonts w:cs="Arial"/>
                <w:vertAlign w:val="subscript"/>
                <w:lang w:val="sv-SE"/>
              </w:rPr>
              <w:t>g</w:t>
            </w:r>
            <w:r w:rsidRPr="00200FA2">
              <w:rPr>
                <w:rFonts w:cs="Arial"/>
                <w:lang w:val="sv-SE"/>
              </w:rPr>
              <w:t xml:space="preserve">) = (1, 2, 2, 1, 1), dH = dV = 0.5 </w:t>
            </w:r>
            <w:r w:rsidRPr="00200FA2">
              <w:rPr>
                <w:rFonts w:cs="Arial"/>
              </w:rPr>
              <w:t>λ</w:t>
            </w:r>
          </w:p>
        </w:tc>
      </w:tr>
      <w:tr w:rsidR="00200FA2" w:rsidRPr="00200FA2" w14:paraId="3F74992D" w14:textId="77777777" w:rsidTr="00E46E0E">
        <w:trPr>
          <w:jc w:val="center"/>
        </w:trPr>
        <w:tc>
          <w:tcPr>
            <w:tcW w:w="3595" w:type="dxa"/>
            <w:shd w:val="clear" w:color="auto" w:fill="auto"/>
          </w:tcPr>
          <w:p w14:paraId="4E7D1CA5" w14:textId="77777777" w:rsidR="00200FA2" w:rsidRPr="00200FA2" w:rsidRDefault="00200FA2" w:rsidP="00200FA2">
            <w:pPr>
              <w:spacing w:after="0"/>
              <w:rPr>
                <w:rFonts w:cs="Arial"/>
              </w:rPr>
            </w:pPr>
            <w:r w:rsidRPr="00200FA2">
              <w:rPr>
                <w:rFonts w:cs="Arial"/>
              </w:rPr>
              <w:t>UE antenna Array configuration</w:t>
            </w:r>
          </w:p>
        </w:tc>
        <w:tc>
          <w:tcPr>
            <w:tcW w:w="5864" w:type="dxa"/>
            <w:shd w:val="clear" w:color="auto" w:fill="auto"/>
          </w:tcPr>
          <w:p w14:paraId="30C0C673" w14:textId="77777777" w:rsidR="00200FA2" w:rsidRPr="00200FA2" w:rsidRDefault="00200FA2" w:rsidP="00200FA2">
            <w:pPr>
              <w:spacing w:after="0"/>
              <w:rPr>
                <w:rFonts w:cs="Arial"/>
              </w:rPr>
            </w:pPr>
            <w:r w:rsidRPr="00200FA2">
              <w:rPr>
                <w:rFonts w:cs="Arial"/>
              </w:rPr>
              <w:t xml:space="preserve">Baseline Tx/Rx: (M, N, P, Mg, Ng) = (1, 1, 2, 1, 1), </w:t>
            </w:r>
          </w:p>
          <w:p w14:paraId="6E8A01D1" w14:textId="77777777" w:rsidR="00200FA2" w:rsidRPr="00200FA2" w:rsidRDefault="00200FA2" w:rsidP="00200FA2">
            <w:pPr>
              <w:spacing w:after="0"/>
              <w:rPr>
                <w:rFonts w:cs="Arial"/>
              </w:rPr>
            </w:pPr>
            <w:proofErr w:type="spellStart"/>
            <w:r w:rsidRPr="00200FA2">
              <w:rPr>
                <w:rFonts w:cs="Arial"/>
              </w:rPr>
              <w:t>dH</w:t>
            </w:r>
            <w:proofErr w:type="spellEnd"/>
            <w:r w:rsidRPr="00200FA2">
              <w:rPr>
                <w:rFonts w:cs="Arial"/>
              </w:rPr>
              <w:t xml:space="preserve"> = </w:t>
            </w:r>
            <w:proofErr w:type="spellStart"/>
            <w:r w:rsidRPr="00200FA2">
              <w:rPr>
                <w:rFonts w:cs="Arial"/>
              </w:rPr>
              <w:t>dV</w:t>
            </w:r>
            <w:proofErr w:type="spellEnd"/>
            <w:r w:rsidRPr="00200FA2">
              <w:rPr>
                <w:rFonts w:cs="Arial"/>
              </w:rPr>
              <w:t xml:space="preserve"> = 0.5 λ</w:t>
            </w:r>
          </w:p>
        </w:tc>
      </w:tr>
      <w:tr w:rsidR="00200FA2" w:rsidRPr="00200FA2" w14:paraId="2D4D2B6F" w14:textId="77777777" w:rsidTr="00E46E0E">
        <w:trPr>
          <w:jc w:val="center"/>
        </w:trPr>
        <w:tc>
          <w:tcPr>
            <w:tcW w:w="3595" w:type="dxa"/>
            <w:shd w:val="clear" w:color="auto" w:fill="auto"/>
          </w:tcPr>
          <w:p w14:paraId="77251CB3" w14:textId="77777777" w:rsidR="00200FA2" w:rsidRPr="00200FA2" w:rsidRDefault="00200FA2" w:rsidP="00200FA2">
            <w:pPr>
              <w:spacing w:after="0"/>
              <w:rPr>
                <w:rFonts w:cs="Arial"/>
              </w:rPr>
            </w:pPr>
            <w:r w:rsidRPr="00200FA2">
              <w:rPr>
                <w:rFonts w:cs="Arial"/>
              </w:rPr>
              <w:t>Traffic model</w:t>
            </w:r>
          </w:p>
        </w:tc>
        <w:tc>
          <w:tcPr>
            <w:tcW w:w="5864" w:type="dxa"/>
            <w:shd w:val="clear" w:color="auto" w:fill="FFFFFF" w:themeFill="background1"/>
          </w:tcPr>
          <w:p w14:paraId="65CAF88F" w14:textId="77777777" w:rsidR="00200FA2" w:rsidRPr="00200FA2" w:rsidRDefault="00200FA2" w:rsidP="00200FA2">
            <w:pPr>
              <w:spacing w:after="0"/>
              <w:rPr>
                <w:rFonts w:cs="Arial"/>
              </w:rPr>
            </w:pPr>
            <w:r w:rsidRPr="00200FA2">
              <w:rPr>
                <w:rFonts w:cs="Arial"/>
              </w:rPr>
              <w:t xml:space="preserve">According to 36.889 Table A.1.1. </w:t>
            </w:r>
          </w:p>
          <w:p w14:paraId="36AE77C4" w14:textId="77777777" w:rsidR="00200FA2" w:rsidRPr="00200FA2" w:rsidRDefault="00200FA2" w:rsidP="00200FA2">
            <w:pPr>
              <w:spacing w:after="0"/>
              <w:rPr>
                <w:rFonts w:cs="Arial"/>
              </w:rPr>
            </w:pPr>
            <w:r w:rsidRPr="00200FA2">
              <w:rPr>
                <w:rFonts w:cs="Arial"/>
              </w:rPr>
              <w:t>DL/UL FTP traffic – DL/UL traffic ratio: 1/1 and 2/1</w:t>
            </w:r>
          </w:p>
          <w:p w14:paraId="5E3570AB" w14:textId="77777777" w:rsidR="00200FA2" w:rsidRPr="00200FA2" w:rsidRDefault="00200FA2" w:rsidP="00200FA2">
            <w:pPr>
              <w:spacing w:after="0"/>
              <w:rPr>
                <w:rFonts w:cs="Arial"/>
              </w:rPr>
            </w:pPr>
            <w:r w:rsidRPr="00200FA2">
              <w:rPr>
                <w:rFonts w:cs="Arial"/>
              </w:rPr>
              <w:t>For both 1/1 and 2/1 traffic ratios low and medium load scenarios are captured</w:t>
            </w:r>
          </w:p>
          <w:p w14:paraId="4330417D" w14:textId="77777777" w:rsidR="00200FA2" w:rsidRPr="00200FA2" w:rsidRDefault="00200FA2" w:rsidP="00200FA2">
            <w:pPr>
              <w:spacing w:after="0"/>
              <w:rPr>
                <w:rFonts w:cs="Arial"/>
              </w:rPr>
            </w:pPr>
          </w:p>
        </w:tc>
      </w:tr>
      <w:tr w:rsidR="00200FA2" w:rsidRPr="00200FA2" w14:paraId="4690B466" w14:textId="77777777" w:rsidTr="00E46E0E">
        <w:trPr>
          <w:jc w:val="center"/>
        </w:trPr>
        <w:tc>
          <w:tcPr>
            <w:tcW w:w="3595" w:type="dxa"/>
            <w:shd w:val="clear" w:color="auto" w:fill="auto"/>
          </w:tcPr>
          <w:p w14:paraId="0487FEB2" w14:textId="77777777" w:rsidR="00200FA2" w:rsidRPr="00200FA2" w:rsidRDefault="00200FA2" w:rsidP="00200FA2">
            <w:pPr>
              <w:spacing w:after="0"/>
              <w:rPr>
                <w:rFonts w:cs="Arial"/>
              </w:rPr>
            </w:pPr>
            <w:r w:rsidRPr="00200FA2">
              <w:rPr>
                <w:rFonts w:cs="Arial"/>
              </w:rPr>
              <w:t>UE to UE link pathloss model</w:t>
            </w:r>
          </w:p>
        </w:tc>
        <w:tc>
          <w:tcPr>
            <w:tcW w:w="5864" w:type="dxa"/>
            <w:shd w:val="clear" w:color="auto" w:fill="auto"/>
          </w:tcPr>
          <w:p w14:paraId="70429D12"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r w:rsidR="00200FA2" w:rsidRPr="00200FA2" w14:paraId="1A570C55" w14:textId="77777777" w:rsidTr="00E46E0E">
        <w:trPr>
          <w:jc w:val="center"/>
        </w:trPr>
        <w:tc>
          <w:tcPr>
            <w:tcW w:w="3595" w:type="dxa"/>
            <w:shd w:val="clear" w:color="auto" w:fill="auto"/>
          </w:tcPr>
          <w:p w14:paraId="38658672" w14:textId="77777777" w:rsidR="00200FA2" w:rsidRPr="00200FA2" w:rsidRDefault="00200FA2" w:rsidP="00200FA2">
            <w:pPr>
              <w:spacing w:after="0"/>
              <w:rPr>
                <w:rFonts w:cs="Arial"/>
              </w:rPr>
            </w:pPr>
            <w:proofErr w:type="spellStart"/>
            <w:r w:rsidRPr="00200FA2">
              <w:rPr>
                <w:rFonts w:cs="Arial"/>
              </w:rPr>
              <w:lastRenderedPageBreak/>
              <w:t>gNB</w:t>
            </w:r>
            <w:proofErr w:type="spellEnd"/>
            <w:r w:rsidRPr="00200FA2">
              <w:rPr>
                <w:rFonts w:cs="Arial"/>
              </w:rPr>
              <w:t xml:space="preserve"> to </w:t>
            </w:r>
            <w:proofErr w:type="spellStart"/>
            <w:r w:rsidRPr="00200FA2">
              <w:rPr>
                <w:rFonts w:cs="Arial"/>
              </w:rPr>
              <w:t>gNB</w:t>
            </w:r>
            <w:proofErr w:type="spellEnd"/>
            <w:r w:rsidRPr="00200FA2">
              <w:rPr>
                <w:rFonts w:cs="Arial"/>
              </w:rPr>
              <w:t xml:space="preserve"> link pathloss model</w:t>
            </w:r>
          </w:p>
        </w:tc>
        <w:tc>
          <w:tcPr>
            <w:tcW w:w="5864" w:type="dxa"/>
            <w:shd w:val="clear" w:color="auto" w:fill="auto"/>
          </w:tcPr>
          <w:p w14:paraId="29E391A4"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bl>
    <w:p w14:paraId="1880E4DC" w14:textId="77777777" w:rsidR="00200FA2" w:rsidRPr="00200FA2" w:rsidRDefault="00200FA2" w:rsidP="00200FA2">
      <w:pPr>
        <w:pStyle w:val="Default"/>
        <w:jc w:val="both"/>
        <w:rPr>
          <w:rFonts w:ascii="Arial" w:hAnsi="Arial" w:cs="Arial"/>
          <w:bCs/>
          <w:sz w:val="20"/>
          <w:szCs w:val="20"/>
        </w:rPr>
      </w:pPr>
    </w:p>
    <w:p w14:paraId="70C4CFC9" w14:textId="4C1A8C57" w:rsidR="00200FA2" w:rsidRDefault="00200FA2" w:rsidP="00200FA2">
      <w:pPr>
        <w:pStyle w:val="Reference"/>
        <w:numPr>
          <w:ilvl w:val="0"/>
          <w:numId w:val="0"/>
        </w:numPr>
        <w:ind w:left="567" w:hanging="567"/>
      </w:pPr>
    </w:p>
    <w:sectPr w:rsidR="00200FA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04E25" w14:textId="77777777" w:rsidR="00D0050B" w:rsidRDefault="00D0050B">
      <w:pPr>
        <w:spacing w:after="0"/>
      </w:pPr>
      <w:r>
        <w:separator/>
      </w:r>
    </w:p>
  </w:endnote>
  <w:endnote w:type="continuationSeparator" w:id="0">
    <w:p w14:paraId="030CC9F1" w14:textId="77777777" w:rsidR="00D0050B" w:rsidRDefault="00D005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8046" w14:textId="77777777" w:rsidR="00D0050B" w:rsidRDefault="00D0050B">
      <w:pPr>
        <w:spacing w:after="0"/>
      </w:pPr>
      <w:r>
        <w:separator/>
      </w:r>
    </w:p>
  </w:footnote>
  <w:footnote w:type="continuationSeparator" w:id="0">
    <w:p w14:paraId="5D4CF2D0" w14:textId="77777777" w:rsidR="00D0050B" w:rsidRDefault="00D005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num w:numId="1" w16cid:durableId="1656489936">
    <w:abstractNumId w:val="1"/>
  </w:num>
  <w:num w:numId="2" w16cid:durableId="512574993">
    <w:abstractNumId w:val="7"/>
  </w:num>
  <w:num w:numId="3" w16cid:durableId="1637418349">
    <w:abstractNumId w:val="8"/>
  </w:num>
  <w:num w:numId="4" w16cid:durableId="987587110">
    <w:abstractNumId w:val="2"/>
  </w:num>
  <w:num w:numId="5" w16cid:durableId="358160993">
    <w:abstractNumId w:val="3"/>
  </w:num>
  <w:num w:numId="6" w16cid:durableId="748383740">
    <w:abstractNumId w:val="4"/>
  </w:num>
  <w:num w:numId="7" w16cid:durableId="881403045">
    <w:abstractNumId w:val="10"/>
  </w:num>
  <w:num w:numId="8" w16cid:durableId="1559976299">
    <w:abstractNumId w:val="0"/>
  </w:num>
  <w:num w:numId="9" w16cid:durableId="1028146870">
    <w:abstractNumId w:val="11"/>
  </w:num>
  <w:num w:numId="10" w16cid:durableId="131409456">
    <w:abstractNumId w:val="5"/>
  </w:num>
  <w:num w:numId="11" w16cid:durableId="1098134506">
    <w:abstractNumId w:val="9"/>
  </w:num>
  <w:num w:numId="12" w16cid:durableId="1517622597">
    <w:abstractNumId w:val="12"/>
  </w:num>
  <w:num w:numId="13" w16cid:durableId="132547496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0FA2"/>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479B"/>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50B"/>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列"/>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단락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8"/>
      </w:numPr>
      <w:contextualSpacing/>
    </w:pPr>
  </w:style>
  <w:style w:type="table" w:customStyle="1" w:styleId="TableGrid2">
    <w:name w:val="Table Grid2"/>
    <w:basedOn w:val="TableNormal"/>
    <w:next w:val="TableGrid"/>
    <w:uiPriority w:val="59"/>
    <w:rsid w:val="00CC47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0FA2"/>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3E3E6.8A8631F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5751</Words>
  <Characters>32782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8</cp:revision>
  <dcterms:created xsi:type="dcterms:W3CDTF">2022-11-04T03:50:00Z</dcterms:created>
  <dcterms:modified xsi:type="dcterms:W3CDTF">2022-11-05T15:31:00Z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